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Default="00822820" w:rsidP="00822820">
      <w:pPr>
        <w:spacing w:after="0"/>
        <w:jc w:val="center"/>
        <w:rPr>
          <w:b/>
          <w:spacing w:val="-6"/>
          <w:sz w:val="28"/>
          <w:szCs w:val="28"/>
        </w:rPr>
      </w:pPr>
    </w:p>
    <w:p w:rsidR="008E281A" w:rsidRDefault="008E281A" w:rsidP="00822820">
      <w:pPr>
        <w:spacing w:after="0"/>
        <w:jc w:val="center"/>
        <w:rPr>
          <w:b/>
          <w:spacing w:val="-6"/>
          <w:sz w:val="28"/>
          <w:szCs w:val="28"/>
        </w:rPr>
      </w:pPr>
    </w:p>
    <w:p w:rsidR="008E281A" w:rsidRPr="008E281A" w:rsidRDefault="008E281A" w:rsidP="008E281A">
      <w:pPr>
        <w:spacing w:after="0"/>
        <w:jc w:val="center"/>
        <w:rPr>
          <w:b/>
          <w:spacing w:val="-6"/>
          <w:sz w:val="28"/>
          <w:szCs w:val="28"/>
        </w:rPr>
      </w:pPr>
      <w:r w:rsidRPr="008E281A">
        <w:rPr>
          <w:b/>
          <w:spacing w:val="-6"/>
          <w:sz w:val="28"/>
          <w:szCs w:val="28"/>
        </w:rPr>
        <w:t>на право заключения договора на выполнение работ по строительству объектов: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8E281A">
        <w:rPr>
          <w:b/>
          <w:spacing w:val="-6"/>
          <w:sz w:val="28"/>
          <w:szCs w:val="28"/>
        </w:rPr>
        <w:t>подэтап</w:t>
      </w:r>
      <w:proofErr w:type="spellEnd"/>
      <w:r w:rsidRPr="008E281A">
        <w:rPr>
          <w:b/>
          <w:spacing w:val="-6"/>
          <w:sz w:val="28"/>
          <w:szCs w:val="28"/>
        </w:rPr>
        <w:t xml:space="preserve"> 1.3), в составе объектов: автомобильная дорога; сети электроснабжения; сети хозяйственно-бытовой канализации; сети ливневой канализации; сети наружного освещения; ограждение территории; сети связи»</w:t>
      </w:r>
    </w:p>
    <w:p w:rsidR="008E281A" w:rsidRPr="00A9547A" w:rsidRDefault="008E281A" w:rsidP="00822820">
      <w:pPr>
        <w:spacing w:after="0"/>
        <w:jc w:val="center"/>
        <w:rPr>
          <w:b/>
          <w:spacing w:val="-6"/>
          <w:sz w:val="28"/>
          <w:szCs w:val="28"/>
        </w:rPr>
      </w:pPr>
    </w:p>
    <w:p w:rsidR="00155242" w:rsidRDefault="00D55105" w:rsidP="008E281A">
      <w:pPr>
        <w:rPr>
          <w:b/>
          <w:bCs/>
          <w:sz w:val="28"/>
          <w:szCs w:val="28"/>
        </w:rPr>
      </w:pPr>
      <w:r w:rsidRPr="00955A49">
        <w:rPr>
          <w:spacing w:val="-6"/>
          <w:sz w:val="28"/>
          <w:szCs w:val="28"/>
        </w:rPr>
        <w:t xml:space="preserve"> </w:t>
      </w: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8E281A">
        <w:rPr>
          <w:b/>
          <w:bCs/>
          <w:sz w:val="28"/>
          <w:szCs w:val="28"/>
        </w:rPr>
        <w:t>17</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3B67D7">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3B67D7">
        <w:rPr>
          <w:b/>
        </w:rPr>
        <w:t>1</w:t>
      </w:r>
      <w:r w:rsidR="00E67B47">
        <w:rPr>
          <w:b/>
        </w:rPr>
        <w:t>9</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3B67D7">
        <w:rPr>
          <w:b/>
        </w:rPr>
        <w:t>3</w:t>
      </w:r>
      <w:r w:rsidR="00E67B47">
        <w:rPr>
          <w:b/>
        </w:rPr>
        <w:t>3</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A24A8C"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013A99" w:rsidRPr="009732A8" w:rsidRDefault="00013A99" w:rsidP="00012552">
      <w:pPr>
        <w:tabs>
          <w:tab w:val="center" w:pos="5103"/>
        </w:tabs>
        <w:rPr>
          <w:b/>
        </w:rPr>
      </w:pPr>
      <w:r w:rsidRPr="00A24A8C">
        <w:rPr>
          <w:b/>
        </w:rPr>
        <w:t xml:space="preserve">      </w:t>
      </w:r>
      <w:r w:rsidRPr="009732A8">
        <w:rPr>
          <w:b/>
        </w:rPr>
        <w:t xml:space="preserve">1. </w:t>
      </w:r>
      <w:r w:rsidR="005D50D8" w:rsidRPr="009732A8">
        <w:rPr>
          <w:b/>
        </w:rPr>
        <w:t>Проектная</w:t>
      </w:r>
      <w:r w:rsidRPr="009732A8">
        <w:rPr>
          <w:b/>
        </w:rPr>
        <w:t xml:space="preserve"> документация</w:t>
      </w:r>
      <w:r w:rsidR="00012552">
        <w:rPr>
          <w:b/>
        </w:rPr>
        <w:tab/>
      </w:r>
    </w:p>
    <w:p w:rsidR="00013A99" w:rsidRPr="009732A8" w:rsidRDefault="00013A99" w:rsidP="00013A99">
      <w:pPr>
        <w:tabs>
          <w:tab w:val="left" w:pos="9214"/>
        </w:tabs>
        <w:rPr>
          <w:b/>
        </w:rPr>
      </w:pPr>
      <w:r w:rsidRPr="009732A8">
        <w:rPr>
          <w:b/>
        </w:rPr>
        <w:t xml:space="preserve">      2</w:t>
      </w:r>
      <w:r w:rsidRPr="00894541">
        <w:rPr>
          <w:b/>
        </w:rPr>
        <w:t>. Ведомость объемов работ</w:t>
      </w:r>
      <w:r w:rsidRPr="009732A8">
        <w:rPr>
          <w:b/>
        </w:rPr>
        <w:t xml:space="preserve"> </w:t>
      </w:r>
    </w:p>
    <w:p w:rsidR="00013A99" w:rsidRPr="00A24A8C" w:rsidRDefault="00013A99" w:rsidP="00223A76">
      <w:pPr>
        <w:tabs>
          <w:tab w:val="left" w:pos="9214"/>
        </w:tabs>
        <w:rPr>
          <w:b/>
        </w:rPr>
      </w:pPr>
      <w:r w:rsidRPr="009732A8">
        <w:rPr>
          <w:b/>
        </w:rPr>
        <w:t xml:space="preserve">      3</w:t>
      </w:r>
      <w:r w:rsidR="00B234D3">
        <w:rPr>
          <w:b/>
        </w:rPr>
        <w:t>.</w:t>
      </w:r>
      <w:r w:rsidR="00323131">
        <w:rPr>
          <w:b/>
        </w:rPr>
        <w:t>Требования к участникам закупки о наличии у них членства в саморегулируемой организации в области строительства</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7D2F2D" w:rsidRDefault="007D2F2D" w:rsidP="007D2F2D">
      <w:pPr>
        <w:autoSpaceDE w:val="0"/>
        <w:autoSpaceDN w:val="0"/>
        <w:adjustRightInd w:val="0"/>
        <w:spacing w:after="0"/>
        <w:rPr>
          <w:b/>
          <w:bCs/>
          <w:i/>
          <w:iCs/>
        </w:rPr>
      </w:pP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w:t>
      </w:r>
      <w:r w:rsidR="000B2394" w:rsidRPr="00A9547A">
        <w:lastRenderedPageBreak/>
        <w:t>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062D0C" w:rsidRPr="00062D0C">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A24A8C"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0E3A6F" w:rsidRPr="00DF1D32" w:rsidRDefault="000E3A6F" w:rsidP="00A24A8C">
            <w:pPr>
              <w:shd w:val="clear" w:color="auto" w:fill="FFFFFF" w:themeFill="background1"/>
              <w:tabs>
                <w:tab w:val="left" w:pos="9214"/>
              </w:tabs>
            </w:pPr>
            <w:r w:rsidRPr="00A24A8C">
              <w:t xml:space="preserve">          </w:t>
            </w:r>
            <w:r w:rsidRPr="00DF1D32">
              <w:t xml:space="preserve">1. </w:t>
            </w:r>
            <w:r w:rsidR="005D50D8" w:rsidRPr="00DF1D32">
              <w:t>Проектная</w:t>
            </w:r>
            <w:r w:rsidRPr="00DF1D32">
              <w:t xml:space="preserve"> документация</w:t>
            </w:r>
          </w:p>
          <w:p w:rsidR="000E3A6F" w:rsidRPr="00DF1D32" w:rsidRDefault="000E3A6F" w:rsidP="00A24A8C">
            <w:pPr>
              <w:shd w:val="clear" w:color="auto" w:fill="FFFFFF" w:themeFill="background1"/>
              <w:tabs>
                <w:tab w:val="left" w:pos="9214"/>
              </w:tabs>
            </w:pPr>
            <w:r w:rsidRPr="00DF1D32">
              <w:t xml:space="preserve">          2. </w:t>
            </w:r>
            <w:r w:rsidRPr="00F95E81">
              <w:t>Ведомость объемов работ</w:t>
            </w:r>
            <w:r w:rsidRPr="00DF1D32">
              <w:t xml:space="preserve"> </w:t>
            </w:r>
          </w:p>
          <w:p w:rsidR="000E3A6F" w:rsidRPr="00A24A8C" w:rsidRDefault="000E3A6F" w:rsidP="00A24A8C">
            <w:pPr>
              <w:shd w:val="clear" w:color="auto" w:fill="FFFFFF" w:themeFill="background1"/>
              <w:tabs>
                <w:tab w:val="left" w:pos="9214"/>
              </w:tabs>
            </w:pPr>
            <w:r w:rsidRPr="00DF1D32">
              <w:t xml:space="preserve">          3</w:t>
            </w:r>
            <w:r w:rsidR="00323131">
              <w:t>. Требования к участникам закупки о наличии у них членства в саморегулируемой организации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 xml:space="preserve">и направляются всем участникам </w:t>
      </w:r>
      <w:r w:rsidRPr="00A9547A">
        <w:rPr>
          <w:szCs w:val="24"/>
        </w:rPr>
        <w:lastRenderedPageBreak/>
        <w:t>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A221DE" w:rsidRDefault="00A221DE" w:rsidP="00FF1748">
      <w:pPr>
        <w:autoSpaceDE w:val="0"/>
        <w:autoSpaceDN w:val="0"/>
        <w:adjustRightInd w:val="0"/>
        <w:spacing w:after="0"/>
        <w:ind w:firstLine="708"/>
      </w:pPr>
      <w:bookmarkStart w:id="17" w:name="_Toc13035847"/>
      <w:bookmarkStart w:id="18" w:name="_Toc15890879"/>
      <w:r w:rsidRPr="00D76B7F">
        <w:t xml:space="preserve">Заказчик вправе отменить </w:t>
      </w:r>
      <w:r w:rsidR="00E7314F" w:rsidRPr="00D76B7F">
        <w:t>открытый конкурс до</w:t>
      </w:r>
      <w:r w:rsidRPr="00D76B7F">
        <w:t xml:space="preserve"> наступления даты и времени окончания срока подачи заявок на участие в </w:t>
      </w:r>
      <w:r w:rsidR="00E7314F" w:rsidRPr="00D76B7F">
        <w:t>открытом конкурсе</w:t>
      </w:r>
      <w:r w:rsidRPr="00D76B7F">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lastRenderedPageBreak/>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w:t>
      </w:r>
      <w:r w:rsidR="00491A4C" w:rsidRPr="00A9547A">
        <w:rPr>
          <w:szCs w:val="24"/>
        </w:rPr>
        <w:lastRenderedPageBreak/>
        <w:t xml:space="preserve">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 xml:space="preserve">(с учетом всех </w:t>
      </w:r>
      <w:r w:rsidRPr="00A9547A">
        <w:rPr>
          <w:szCs w:val="24"/>
        </w:rPr>
        <w:lastRenderedPageBreak/>
        <w:t>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В случае соответствия уведомления об отзыве заявки на участие в конкурсе </w:t>
      </w:r>
      <w:r w:rsidRPr="00A9547A">
        <w:rPr>
          <w:szCs w:val="24"/>
        </w:rPr>
        <w:lastRenderedPageBreak/>
        <w:t>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lastRenderedPageBreak/>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xml:space="preserve">, кроме сведений о качестве товаров, работ, услуг и квалификации участника </w:t>
      </w:r>
      <w:r w:rsidR="00BB0EF2">
        <w:rPr>
          <w:szCs w:val="24"/>
        </w:rPr>
        <w:lastRenderedPageBreak/>
        <w:t>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lastRenderedPageBreak/>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w:t>
      </w:r>
      <w:r w:rsidRPr="00A9547A">
        <w:lastRenderedPageBreak/>
        <w:t>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w:t>
      </w:r>
      <w:r w:rsidRPr="00A9547A">
        <w:rPr>
          <w:szCs w:val="24"/>
        </w:rPr>
        <w:lastRenderedPageBreak/>
        <w:t xml:space="preserve">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 xml:space="preserve">предоставить Заказчику иное (новое) надлежащее обеспечение </w:t>
      </w:r>
      <w:r w:rsidR="00892523" w:rsidRPr="00A9547A">
        <w:lastRenderedPageBreak/>
        <w:t>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 xml:space="preserve">ся сведения, о лице, с которым </w:t>
      </w:r>
      <w:r w:rsidRPr="00A9547A">
        <w:lastRenderedPageBreak/>
        <w:t>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F34AF9" w:rsidRDefault="00F34AF9" w:rsidP="00F34AF9"/>
    <w:p w:rsidR="00670CB3" w:rsidRDefault="00670CB3">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8E1621">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p>
          <w:p w:rsidR="00CB0BDC" w:rsidRPr="009852F0" w:rsidRDefault="009852F0" w:rsidP="009852F0">
            <w:pPr>
              <w:keepNext/>
              <w:keepLines/>
              <w:widowControl w:val="0"/>
              <w:suppressLineNumbers/>
              <w:suppressAutoHyphens/>
            </w:pPr>
            <w:r w:rsidRPr="009852F0">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8E281A" w:rsidRPr="008E281A" w:rsidRDefault="008E281A" w:rsidP="008E281A">
            <w:pPr>
              <w:spacing w:after="0"/>
              <w:rPr>
                <w:bCs/>
              </w:rPr>
            </w:pPr>
            <w:r w:rsidRPr="008E281A">
              <w:rPr>
                <w:bCs/>
              </w:rPr>
              <w:t>Выполнение работ по строительству объектов: «Первый этап строительства особой экономической зоны промышленно-производственного типа "Липецк", расположенной в Елецком районе Липецкой области (</w:t>
            </w:r>
            <w:proofErr w:type="spellStart"/>
            <w:r w:rsidRPr="008E281A">
              <w:rPr>
                <w:bCs/>
              </w:rPr>
              <w:t>подэтап</w:t>
            </w:r>
            <w:proofErr w:type="spellEnd"/>
            <w:r w:rsidRPr="008E281A">
              <w:rPr>
                <w:bCs/>
              </w:rPr>
              <w:t xml:space="preserve"> 1.3), в составе объектов: автомобильная дорога; сети электроснабжения; сети хозяйственно-бытовой канализации; сети ливневой канализации; сети наружного освещения; ограждение территории; сети связи»</w:t>
            </w:r>
          </w:p>
          <w:p w:rsidR="008E281A" w:rsidRPr="008E281A" w:rsidRDefault="008E281A" w:rsidP="008E281A">
            <w:pPr>
              <w:spacing w:after="0"/>
              <w:rPr>
                <w:rFonts w:eastAsia="Calibri"/>
                <w:i/>
                <w:sz w:val="20"/>
                <w:szCs w:val="20"/>
              </w:rPr>
            </w:pPr>
            <w:r w:rsidRPr="008E281A">
              <w:rPr>
                <w:rFonts w:eastAsia="Calibri"/>
                <w:i/>
                <w:sz w:val="20"/>
                <w:szCs w:val="20"/>
              </w:rPr>
              <w:t xml:space="preserve">- автомобильная дорога – 822,55 </w:t>
            </w:r>
            <w:proofErr w:type="spellStart"/>
            <w:r w:rsidRPr="008E281A">
              <w:rPr>
                <w:rFonts w:eastAsia="Calibri"/>
                <w:i/>
                <w:sz w:val="20"/>
                <w:szCs w:val="20"/>
              </w:rPr>
              <w:t>м.п</w:t>
            </w:r>
            <w:proofErr w:type="spellEnd"/>
            <w:r w:rsidRPr="008E281A">
              <w:rPr>
                <w:rFonts w:eastAsia="Calibri"/>
                <w:i/>
                <w:sz w:val="20"/>
                <w:szCs w:val="20"/>
              </w:rPr>
              <w:t xml:space="preserve">.; </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кабельных линий 10кВ – 2460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кабельных линий 0,4кВ – 220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трансформаторная подстанция (ТП) – 1 </w:t>
            </w:r>
            <w:proofErr w:type="spellStart"/>
            <w:r w:rsidRPr="008E281A">
              <w:rPr>
                <w:rFonts w:eastAsia="Calibri"/>
                <w:i/>
                <w:sz w:val="20"/>
                <w:szCs w:val="20"/>
              </w:rPr>
              <w:t>шт</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сети напорной канализации – 1771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сети самотечной канализации – 1450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-устройство КНС, площадь застройки – 10 м</w:t>
            </w:r>
            <w:r w:rsidRPr="008E281A">
              <w:rPr>
                <w:rFonts w:eastAsia="Calibri"/>
                <w:i/>
                <w:sz w:val="20"/>
                <w:szCs w:val="20"/>
                <w:vertAlign w:val="superscript"/>
              </w:rPr>
              <w:t>2</w:t>
            </w:r>
            <w:r w:rsidRPr="008E281A">
              <w:rPr>
                <w:rFonts w:eastAsia="Calibri"/>
                <w:i/>
                <w:sz w:val="20"/>
                <w:szCs w:val="20"/>
              </w:rPr>
              <w:t>, производительность – 100м</w:t>
            </w:r>
            <w:r w:rsidRPr="008E281A">
              <w:rPr>
                <w:rFonts w:eastAsia="Calibri"/>
                <w:i/>
                <w:sz w:val="20"/>
                <w:szCs w:val="20"/>
                <w:vertAlign w:val="superscript"/>
              </w:rPr>
              <w:t>3</w:t>
            </w:r>
            <w:r w:rsidRPr="008E281A">
              <w:rPr>
                <w:rFonts w:eastAsia="Calibri"/>
                <w:i/>
                <w:sz w:val="20"/>
                <w:szCs w:val="20"/>
              </w:rPr>
              <w:t>/ч;</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сети ливневой канализации – 1082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воздушных линий сети наружного освещения – 866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ограждения – 5068,2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интерфейсный кабель – 4500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вибрационные датчики – 4 шт.;</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демонтируемого существующего ограждения – 1914,55 </w:t>
            </w:r>
            <w:proofErr w:type="spellStart"/>
            <w:r w:rsidRPr="008E281A">
              <w:rPr>
                <w:rFonts w:eastAsia="Calibri"/>
                <w:i/>
                <w:sz w:val="20"/>
                <w:szCs w:val="20"/>
              </w:rPr>
              <w:t>м.п</w:t>
            </w:r>
            <w:proofErr w:type="spellEnd"/>
            <w:r w:rsidRPr="008E281A">
              <w:rPr>
                <w:rFonts w:eastAsia="Calibri"/>
                <w:i/>
                <w:sz w:val="20"/>
                <w:szCs w:val="20"/>
              </w:rPr>
              <w:t>.;</w:t>
            </w:r>
          </w:p>
          <w:p w:rsidR="008E281A" w:rsidRPr="008E281A" w:rsidRDefault="008E281A" w:rsidP="008E281A">
            <w:pPr>
              <w:spacing w:after="0"/>
              <w:rPr>
                <w:rFonts w:eastAsia="Calibri"/>
                <w:i/>
                <w:sz w:val="20"/>
                <w:szCs w:val="20"/>
              </w:rPr>
            </w:pPr>
            <w:r w:rsidRPr="008E281A">
              <w:rPr>
                <w:rFonts w:eastAsia="Calibri"/>
                <w:i/>
                <w:sz w:val="20"/>
                <w:szCs w:val="20"/>
              </w:rPr>
              <w:t xml:space="preserve">- протяженность подземной кабельной телефонной канализации – 411,4 </w:t>
            </w:r>
            <w:proofErr w:type="spellStart"/>
            <w:r w:rsidRPr="008E281A">
              <w:rPr>
                <w:rFonts w:eastAsia="Calibri"/>
                <w:i/>
                <w:sz w:val="20"/>
                <w:szCs w:val="20"/>
              </w:rPr>
              <w:t>м.п</w:t>
            </w:r>
            <w:proofErr w:type="spellEnd"/>
            <w:r w:rsidRPr="008E281A">
              <w:rPr>
                <w:rFonts w:eastAsia="Calibri"/>
                <w:i/>
                <w:sz w:val="20"/>
                <w:szCs w:val="20"/>
              </w:rPr>
              <w:t xml:space="preserve">.; </w:t>
            </w:r>
          </w:p>
          <w:p w:rsidR="008E281A" w:rsidRPr="008E281A" w:rsidRDefault="008E281A" w:rsidP="008E281A">
            <w:pPr>
              <w:spacing w:after="0"/>
              <w:rPr>
                <w:rFonts w:eastAsia="Calibri"/>
                <w:i/>
              </w:rPr>
            </w:pPr>
            <w:r w:rsidRPr="008E281A">
              <w:rPr>
                <w:rFonts w:eastAsia="Calibri"/>
                <w:i/>
                <w:sz w:val="20"/>
                <w:szCs w:val="20"/>
              </w:rPr>
              <w:t xml:space="preserve">- протяженность кабельных и воздушных линий связи – 2300 </w:t>
            </w:r>
            <w:proofErr w:type="spellStart"/>
            <w:r w:rsidRPr="008E281A">
              <w:rPr>
                <w:rFonts w:eastAsia="Calibri"/>
                <w:i/>
                <w:sz w:val="20"/>
                <w:szCs w:val="20"/>
              </w:rPr>
              <w:t>м.п</w:t>
            </w:r>
            <w:proofErr w:type="spellEnd"/>
            <w:r w:rsidRPr="008E281A">
              <w:rPr>
                <w:rFonts w:eastAsia="Calibri"/>
                <w:i/>
                <w:sz w:val="20"/>
                <w:szCs w:val="20"/>
              </w:rPr>
              <w:t>.;</w:t>
            </w:r>
          </w:p>
          <w:p w:rsidR="00D25D91" w:rsidRPr="00AF4CE8" w:rsidRDefault="00D25D91" w:rsidP="00DE3FCF">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0230D9"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01DC7" w:rsidRPr="000230D9" w:rsidRDefault="00A01DC7" w:rsidP="004232AD">
            <w:pPr>
              <w:pStyle w:val="28"/>
              <w:tabs>
                <w:tab w:val="left" w:pos="960"/>
                <w:tab w:val="left" w:pos="1080"/>
                <w:tab w:val="left" w:pos="1680"/>
                <w:tab w:val="left" w:pos="1920"/>
              </w:tabs>
              <w:spacing w:after="0" w:line="240" w:lineRule="auto"/>
              <w:ind w:left="0" w:right="-49"/>
            </w:pPr>
            <w:r w:rsidRPr="000230D9">
              <w:t xml:space="preserve">Липецкая область, </w:t>
            </w:r>
            <w:r w:rsidR="008E281A">
              <w:t xml:space="preserve">Елецкий </w:t>
            </w:r>
            <w:r w:rsidRPr="000230D9">
              <w:t xml:space="preserve">район, </w:t>
            </w:r>
            <w:r w:rsidR="000150E3" w:rsidRPr="000230D9">
              <w:t>особая экономическая</w:t>
            </w:r>
            <w:r w:rsidRPr="000230D9">
              <w:t xml:space="preserve"> </w:t>
            </w:r>
            <w:r w:rsidR="000150E3" w:rsidRPr="000230D9">
              <w:t>зона</w:t>
            </w:r>
            <w:r w:rsidRPr="000230D9">
              <w:t xml:space="preserve"> промышленно-производственного типа «Липецк»</w:t>
            </w:r>
            <w:r w:rsidR="00E75800" w:rsidRPr="000230D9">
              <w:t>.</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8E281A"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 xml:space="preserve">7 месяцев </w:t>
            </w:r>
            <w:r w:rsidR="009B69EC" w:rsidRPr="00EC3A4C">
              <w:rPr>
                <w:rFonts w:eastAsia="Lucida Sans Unicode" w:cs="Tahoma"/>
                <w:lang w:eastAsia="en-US" w:bidi="en-US"/>
              </w:rPr>
              <w:t>со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CB0BDC" w:rsidRPr="005E1CFB" w:rsidRDefault="000C2572" w:rsidP="004C6789">
            <w:pPr>
              <w:pStyle w:val="28"/>
              <w:tabs>
                <w:tab w:val="left" w:pos="960"/>
                <w:tab w:val="left" w:pos="1080"/>
                <w:tab w:val="left" w:pos="1680"/>
                <w:tab w:val="left" w:pos="1920"/>
              </w:tabs>
              <w:spacing w:after="0" w:line="240" w:lineRule="auto"/>
              <w:ind w:left="0" w:right="-49"/>
              <w:jc w:val="left"/>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p w:rsidR="000C2572" w:rsidRPr="000230D9" w:rsidRDefault="000C2572" w:rsidP="004C6789">
            <w:pPr>
              <w:pStyle w:val="28"/>
              <w:tabs>
                <w:tab w:val="left" w:pos="960"/>
                <w:tab w:val="left" w:pos="1080"/>
                <w:tab w:val="left" w:pos="1680"/>
                <w:tab w:val="left" w:pos="1920"/>
              </w:tabs>
              <w:spacing w:after="0" w:line="240" w:lineRule="auto"/>
              <w:ind w:left="0" w:right="-49"/>
              <w:jc w:val="left"/>
              <w:rPr>
                <w:szCs w:val="24"/>
              </w:rPr>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t xml:space="preserve">Начальная (максимальная) цена </w:t>
            </w:r>
            <w:r w:rsidR="00DA7A72" w:rsidRPr="00962DB1">
              <w:rPr>
                <w:b/>
              </w:rPr>
              <w:t>договора:</w:t>
            </w:r>
            <w:r w:rsidR="000E436C">
              <w:rPr>
                <w:b/>
              </w:rPr>
              <w:t xml:space="preserve"> </w:t>
            </w:r>
            <w:r w:rsidR="008E281A">
              <w:rPr>
                <w:b/>
              </w:rPr>
              <w:t xml:space="preserve">162 729 420 </w:t>
            </w:r>
            <w:r w:rsidR="008E281A" w:rsidRPr="008E281A">
              <w:rPr>
                <w:b/>
              </w:rPr>
              <w:t xml:space="preserve">(сто шестьдесят два миллиона семьсот двадцать девять тысяч четыреста двадцать) </w:t>
            </w:r>
            <w:r w:rsidR="00213EBB">
              <w:rPr>
                <w:b/>
              </w:rPr>
              <w:t>руб.</w:t>
            </w:r>
            <w:r w:rsidR="00646D8A" w:rsidRPr="00E315FB">
              <w:rPr>
                <w:color w:val="000000" w:themeColor="text1"/>
              </w:rPr>
              <w:t xml:space="preserve"> 00 </w:t>
            </w:r>
            <w:proofErr w:type="gramStart"/>
            <w:r w:rsidR="00646D8A" w:rsidRPr="00E315FB">
              <w:rPr>
                <w:color w:val="000000" w:themeColor="text1"/>
              </w:rPr>
              <w:t>коп.</w:t>
            </w:r>
            <w:r w:rsidR="003462C7" w:rsidRPr="00E315FB">
              <w:rPr>
                <w:color w:val="000000" w:themeColor="text1"/>
              </w:rPr>
              <w:t>,</w:t>
            </w:r>
            <w:proofErr w:type="gramEnd"/>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63553A">
              <w:t xml:space="preserve">В соответствии со </w:t>
            </w:r>
            <w:r w:rsidR="001B290D" w:rsidRPr="0063553A">
              <w:t>ст. 4</w:t>
            </w:r>
            <w:r w:rsidR="00152368" w:rsidRPr="0063553A">
              <w:t xml:space="preserve"> проекта договора.</w:t>
            </w:r>
          </w:p>
        </w:tc>
      </w:tr>
      <w:tr w:rsidR="00CB0BDC" w:rsidRPr="00A9547A" w:rsidTr="008E1621">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3553A">
              <w:t>ы</w:t>
            </w:r>
            <w:r w:rsidRPr="00A9547A">
              <w:t>, услуг</w:t>
            </w:r>
            <w:r w:rsidR="0063553A">
              <w:t>и</w:t>
            </w:r>
            <w:r w:rsidRPr="00A9547A">
              <w:t>,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63553A" w:rsidRDefault="00CA12DD" w:rsidP="004232AD">
            <w:pPr>
              <w:jc w:val="left"/>
            </w:pPr>
            <w:r w:rsidRPr="0063553A">
              <w:t xml:space="preserve">В </w:t>
            </w:r>
            <w:r w:rsidR="00565532" w:rsidRPr="0063553A">
              <w:t>соответствии со ст. 6</w:t>
            </w:r>
            <w:r w:rsidRPr="0063553A">
              <w:t xml:space="preserve"> проекта договора</w:t>
            </w:r>
            <w:r w:rsidR="00247512" w:rsidRPr="0063553A">
              <w:t xml:space="preserve">. </w:t>
            </w:r>
          </w:p>
          <w:p w:rsidR="00646FE1" w:rsidRPr="00F95E81" w:rsidRDefault="00646FE1" w:rsidP="00D55661">
            <w:pPr>
              <w:rPr>
                <w:highlight w:val="cyan"/>
              </w:rPr>
            </w:pPr>
          </w:p>
        </w:tc>
      </w:tr>
      <w:tr w:rsidR="00CB0BDC" w:rsidRPr="00A9547A" w:rsidTr="008E162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63553A">
            <w:pPr>
              <w:autoSpaceDE w:val="0"/>
              <w:autoSpaceDN w:val="0"/>
              <w:adjustRightInd w:val="0"/>
              <w:spacing w:after="0"/>
              <w:rPr>
                <w:bCs/>
              </w:rPr>
            </w:pPr>
            <w:r w:rsidRPr="00A9547A">
              <w:rPr>
                <w:bCs/>
              </w:rPr>
              <w:t xml:space="preserve">Требования к </w:t>
            </w:r>
            <w:r w:rsidR="0063553A">
              <w:rPr>
                <w:bCs/>
              </w:rPr>
              <w:t xml:space="preserve">безопасности, </w:t>
            </w:r>
            <w:r w:rsidRPr="00A9547A">
              <w:rPr>
                <w:bCs/>
              </w:rPr>
              <w:t xml:space="preserve">качеству, техническим характеристикам работ, услуг, товара, требования к результатам работ, услуг и иные </w:t>
            </w:r>
            <w:r w:rsidR="0063553A">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8E1621">
        <w:trPr>
          <w:trHeight w:val="3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8E1621">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13EBB" w:rsidRPr="00213EBB" w:rsidRDefault="00CB0BDC" w:rsidP="004232AD">
            <w:pPr>
              <w:autoSpaceDE w:val="0"/>
              <w:autoSpaceDN w:val="0"/>
              <w:adjustRightInd w:val="0"/>
              <w:spacing w:after="0"/>
              <w:rPr>
                <w:color w:val="000000" w:themeColor="text1"/>
              </w:rPr>
            </w:pPr>
            <w:r w:rsidRPr="00A9547A">
              <w:t xml:space="preserve">1) соответствие </w:t>
            </w:r>
            <w:bookmarkStart w:id="35" w:name="ст11ч1"/>
            <w:bookmarkEnd w:id="35"/>
            <w:r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t>г, являющихся предметом</w:t>
            </w:r>
            <w:r w:rsidR="00013A99">
              <w:t xml:space="preserve"> </w:t>
            </w:r>
            <w:r w:rsidR="00025B2B" w:rsidRPr="00213EBB">
              <w:rPr>
                <w:color w:val="000000" w:themeColor="text1"/>
              </w:rPr>
              <w:t xml:space="preserve">закупки </w:t>
            </w:r>
            <w:r w:rsidR="00883905" w:rsidRPr="00213EBB">
              <w:rPr>
                <w:color w:val="000000" w:themeColor="text1"/>
              </w:rPr>
              <w:t xml:space="preserve"> </w:t>
            </w:r>
            <w:r w:rsidR="002904AC" w:rsidRPr="00213EBB">
              <w:rPr>
                <w:color w:val="000000" w:themeColor="text1"/>
              </w:rPr>
              <w:t>(</w:t>
            </w:r>
            <w:r w:rsidR="00883905" w:rsidRPr="00213EBB">
              <w:rPr>
                <w:color w:val="000000" w:themeColor="text1"/>
              </w:rPr>
              <w:t>членство участника закупки в саморегулируемой организации в области строительства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r w:rsidR="002904AC" w:rsidRPr="00213EBB">
              <w:rPr>
                <w:color w:val="000000" w:themeColor="text1"/>
              </w:rPr>
              <w:t>);</w:t>
            </w:r>
            <w:r w:rsidR="00793AF9" w:rsidRPr="00213EBB">
              <w:rPr>
                <w:color w:val="000000" w:themeColor="text1"/>
              </w:rPr>
              <w:t xml:space="preserve"> </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6B38DD" w:rsidRDefault="00CB0BDC" w:rsidP="007B1B2E">
            <w:pPr>
              <w:autoSpaceDE w:val="0"/>
              <w:autoSpaceDN w:val="0"/>
              <w:adjustRightInd w:val="0"/>
              <w:spacing w:after="0"/>
            </w:pPr>
            <w:r w:rsidRPr="00030522">
              <w:t xml:space="preserve">6) </w:t>
            </w:r>
            <w:r w:rsidR="00FD6D7C" w:rsidRPr="00030522">
              <w:t xml:space="preserve"> </w:t>
            </w:r>
            <w:r w:rsidR="007B1B2E" w:rsidRPr="00DE0E60">
              <w:t xml:space="preserve">наличие у участника закупки </w:t>
            </w:r>
            <w:r w:rsidR="004B63FA" w:rsidRPr="00DE0E60">
              <w:t>опыта исполнения</w:t>
            </w:r>
            <w:r w:rsidR="00D845D2" w:rsidRPr="00DE0E60">
              <w:t xml:space="preserve"> </w:t>
            </w:r>
            <w:r w:rsidR="004B63FA" w:rsidRPr="00FA2FE8">
              <w:t>договора</w:t>
            </w:r>
            <w:r w:rsidR="004B63FA" w:rsidRPr="00DE0E60">
              <w:t xml:space="preserve"> на</w:t>
            </w:r>
            <w:r w:rsidR="00D845D2" w:rsidRPr="00DE0E60">
              <w:t xml:space="preserve"> выполнение работ </w:t>
            </w:r>
            <w:r w:rsidR="00D845D2" w:rsidRPr="006B38DD">
              <w:t xml:space="preserve">по </w:t>
            </w:r>
            <w:r w:rsidR="00183296" w:rsidRPr="006B38DD">
              <w:t>строительству, ре</w:t>
            </w:r>
            <w:r w:rsidR="00D845D2" w:rsidRPr="006B38DD">
              <w:t xml:space="preserve">конструкции и капитальному ремонту объектов капитального строительства за </w:t>
            </w:r>
            <w:r w:rsidR="004B63FA" w:rsidRPr="006B38DD">
              <w:t>последние три</w:t>
            </w:r>
            <w:r w:rsidR="00D845D2" w:rsidRPr="006B38DD">
              <w:t xml:space="preserve"> </w:t>
            </w:r>
            <w:r w:rsidR="004B63FA" w:rsidRPr="006B38DD">
              <w:t>года до</w:t>
            </w:r>
            <w:r w:rsidR="00183296" w:rsidRPr="006B38DD">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6B38DD">
              <w:t>право заключить</w:t>
            </w:r>
            <w:r w:rsidR="00183296" w:rsidRPr="006B38DD">
              <w:t xml:space="preserve"> который проводится закупка</w:t>
            </w:r>
            <w:r w:rsidR="007B1B2E" w:rsidRPr="006B38DD">
              <w:t>;</w:t>
            </w:r>
          </w:p>
          <w:p w:rsidR="00CB0BDC" w:rsidRPr="00A9547A" w:rsidRDefault="00CB0BDC" w:rsidP="00FF6EDD">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 xml:space="preserve">рок, место и порядок </w:t>
            </w:r>
            <w:r w:rsidRPr="00A9547A">
              <w:rPr>
                <w:rFonts w:eastAsia="Calibri"/>
                <w:lang w:eastAsia="en-US"/>
              </w:rPr>
              <w:lastRenderedPageBreak/>
              <w:t>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lastRenderedPageBreak/>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63553A"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63553A">
              <w:rPr>
                <w:b/>
              </w:rPr>
              <w:t>«</w:t>
            </w:r>
            <w:r w:rsidR="008E281A">
              <w:rPr>
                <w:b/>
              </w:rPr>
              <w:t>6</w:t>
            </w:r>
            <w:r w:rsidR="001F31FF" w:rsidRPr="0063553A">
              <w:rPr>
                <w:b/>
              </w:rPr>
              <w:t>»</w:t>
            </w:r>
            <w:r w:rsidRPr="0063553A">
              <w:rPr>
                <w:b/>
              </w:rPr>
              <w:t xml:space="preserve"> </w:t>
            </w:r>
            <w:r w:rsidR="008E281A">
              <w:rPr>
                <w:b/>
              </w:rPr>
              <w:t>ноября</w:t>
            </w:r>
            <w:r w:rsidR="006D4F82" w:rsidRPr="0063553A">
              <w:rPr>
                <w:b/>
              </w:rPr>
              <w:t xml:space="preserve"> </w:t>
            </w:r>
            <w:r w:rsidR="007B1B2E" w:rsidRPr="0063553A">
              <w:rPr>
                <w:b/>
              </w:rPr>
              <w:t>2</w:t>
            </w:r>
            <w:r w:rsidR="00563001" w:rsidRPr="0063553A">
              <w:rPr>
                <w:b/>
              </w:rPr>
              <w:t>01</w:t>
            </w:r>
            <w:r w:rsidR="000E436C" w:rsidRPr="0063553A">
              <w:rPr>
                <w:b/>
              </w:rPr>
              <w:t>8</w:t>
            </w:r>
            <w:r w:rsidRPr="0063553A">
              <w:rPr>
                <w:b/>
              </w:rPr>
              <w:t xml:space="preserve"> года.</w:t>
            </w:r>
          </w:p>
          <w:p w:rsidR="00CB0BDC" w:rsidRPr="003B67D7" w:rsidRDefault="00CB0BDC" w:rsidP="008E281A">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8E281A">
              <w:rPr>
                <w:b/>
              </w:rPr>
              <w:t>23</w:t>
            </w:r>
            <w:r w:rsidR="00C65AF3" w:rsidRPr="00B12933">
              <w:rPr>
                <w:b/>
              </w:rPr>
              <w:t>»</w:t>
            </w:r>
            <w:r w:rsidR="00407A4E" w:rsidRPr="00B12933">
              <w:rPr>
                <w:b/>
              </w:rPr>
              <w:t xml:space="preserve"> </w:t>
            </w:r>
            <w:r w:rsidR="008E281A">
              <w:rPr>
                <w:b/>
              </w:rPr>
              <w:t>но</w:t>
            </w:r>
            <w:r w:rsidR="00213EBB">
              <w:rPr>
                <w:b/>
              </w:rPr>
              <w:t>ября</w:t>
            </w:r>
            <w:r w:rsidR="0080474C" w:rsidRPr="00B12933">
              <w:rPr>
                <w:b/>
              </w:rPr>
              <w:t xml:space="preserve"> </w:t>
            </w:r>
            <w:r w:rsidRPr="00B12933">
              <w:rPr>
                <w:b/>
              </w:rPr>
              <w:t>201</w:t>
            </w:r>
            <w:r w:rsidR="000E436C">
              <w:rPr>
                <w:b/>
              </w:rPr>
              <w:t>8</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8E1621">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8E1621">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w:t>
            </w:r>
            <w:r w:rsidR="00CC57E4" w:rsidRPr="00DB3E6E">
              <w:rPr>
                <w:rFonts w:ascii="Times New Roman" w:hAnsi="Times New Roman" w:cs="Times New Roman"/>
                <w:sz w:val="24"/>
                <w:szCs w:val="24"/>
              </w:rPr>
              <w:lastRenderedPageBreak/>
              <w:t>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8E281A">
              <w:rPr>
                <w:rFonts w:ascii="Times New Roman" w:hAnsi="Times New Roman" w:cs="Times New Roman"/>
                <w:sz w:val="24"/>
                <w:szCs w:val="24"/>
              </w:rPr>
              <w:t>акт</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BF1C39" w:rsidRPr="006621D9" w:rsidRDefault="00CB0BDC" w:rsidP="0028411C">
            <w:pPr>
              <w:spacing w:after="0"/>
            </w:pPr>
            <w:r w:rsidRPr="006621D9">
              <w:t>8. </w:t>
            </w:r>
            <w:r w:rsidR="0028411C" w:rsidRPr="006621D9">
              <w:t xml:space="preserve">Копию </w:t>
            </w:r>
            <w:r w:rsidR="00883905">
              <w:t>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w:t>
            </w:r>
            <w:r w:rsidR="00FA5171">
              <w:t xml:space="preserve"> </w:t>
            </w:r>
            <w:r w:rsidR="00883905">
              <w:t>у</w:t>
            </w:r>
            <w:r w:rsidR="00FA5171">
              <w:t xml:space="preserve"> </w:t>
            </w:r>
            <w:r w:rsidR="00FA5171">
              <w:lastRenderedPageBreak/>
              <w:t>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6B38DD" w:rsidRDefault="00CB0BDC" w:rsidP="004232AD">
            <w:pPr>
              <w:autoSpaceDE w:val="0"/>
              <w:autoSpaceDN w:val="0"/>
              <w:adjustRightInd w:val="0"/>
              <w:spacing w:after="0"/>
              <w:ind w:left="69"/>
            </w:pPr>
            <w:r w:rsidRPr="00E7345E">
              <w:lastRenderedPageBreak/>
              <w:t xml:space="preserve">13. </w:t>
            </w:r>
            <w:r w:rsidR="009B3DA0" w:rsidRPr="00E7345E">
              <w:t xml:space="preserve"> В подтверждение опыта выполнения работ участником закупки </w:t>
            </w:r>
            <w:r w:rsidR="004B63FA">
              <w:t>(в соответствии с требованиями подпункта</w:t>
            </w:r>
            <w:r w:rsidR="009B3DA0" w:rsidRPr="00E7345E">
              <w:t xml:space="preserve"> 6 п.8. Раздела </w:t>
            </w:r>
            <w:r w:rsidR="009B3DA0" w:rsidRPr="00E7345E">
              <w:rPr>
                <w:lang w:val="en-US"/>
              </w:rPr>
              <w:t>II</w:t>
            </w:r>
            <w:r w:rsidR="009B3DA0" w:rsidRPr="00E7345E">
              <w:t xml:space="preserve"> «Информационная карта конкурса» конкурсной документации)</w:t>
            </w:r>
            <w:r w:rsidR="00A21D61">
              <w:t xml:space="preserve"> предоставляется</w:t>
            </w:r>
            <w:r w:rsidR="00A22F67">
              <w:t xml:space="preserve">: </w:t>
            </w:r>
            <w:r w:rsidR="00404A9C">
              <w:t>копи</w:t>
            </w:r>
            <w:r w:rsidR="00A21D61">
              <w:t>я</w:t>
            </w:r>
            <w:r w:rsidR="00404A9C" w:rsidRPr="00404A9C">
              <w:t xml:space="preserve"> исполненн</w:t>
            </w:r>
            <w:r w:rsidR="00A21D61">
              <w:t>ого</w:t>
            </w:r>
            <w:r w:rsidR="00404A9C" w:rsidRPr="00404A9C">
              <w:t xml:space="preserve"> договор</w:t>
            </w:r>
            <w:r w:rsidR="00A21D61">
              <w:t>а</w:t>
            </w:r>
            <w:r w:rsidR="00404A9C" w:rsidRPr="00404A9C">
              <w:t xml:space="preserve"> </w:t>
            </w:r>
            <w:r w:rsidR="00404A9C">
              <w:t xml:space="preserve">и копии </w:t>
            </w:r>
            <w:r w:rsidR="00A21D61">
              <w:t>документов, подтверждающих его</w:t>
            </w:r>
            <w:r w:rsidR="00404A9C" w:rsidRPr="00404A9C">
              <w:t xml:space="preserve"> </w:t>
            </w:r>
            <w:r w:rsidR="00404A9C" w:rsidRPr="006B38DD">
              <w:t>исполнение (</w:t>
            </w:r>
            <w:r w:rsidR="00262941" w:rsidRPr="006B38DD">
              <w:t>акт приемки объекта капитального строительства и/или разрешение на ввод объекта капитального строительства или акт о приемке выполненных работ</w:t>
            </w:r>
            <w:r w:rsidR="00404A9C" w:rsidRPr="006B38DD">
              <w:t>).</w:t>
            </w:r>
          </w:p>
          <w:p w:rsidR="00404A9C" w:rsidRPr="00F6507C" w:rsidRDefault="00CB0BDC" w:rsidP="00404A9C">
            <w:pPr>
              <w:autoSpaceDE w:val="0"/>
              <w:autoSpaceDN w:val="0"/>
              <w:adjustRightInd w:val="0"/>
              <w:spacing w:after="0"/>
              <w:ind w:left="69"/>
            </w:pPr>
            <w:r w:rsidRPr="00F6507C">
              <w:t xml:space="preserve">14. Документы, подтверждающие </w:t>
            </w:r>
            <w:r w:rsidR="001679DE" w:rsidRPr="00F6507C">
              <w:t>квалификацию участника закупки (</w:t>
            </w:r>
            <w:r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Default="008E281A" w:rsidP="00D718AA">
            <w:pPr>
              <w:autoSpaceDE w:val="0"/>
              <w:autoSpaceDN w:val="0"/>
              <w:adjustRightInd w:val="0"/>
              <w:spacing w:after="0"/>
              <w:ind w:left="69"/>
            </w:pPr>
            <w:r>
              <w:t>-</w:t>
            </w:r>
            <w:r w:rsidR="00404A9C" w:rsidRPr="00F6507C">
              <w:t xml:space="preserve">копии исполненных договоров (государственных контрактов) и копии документов, подтверждающих их исполнение (копии </w:t>
            </w:r>
            <w:r w:rsidR="004B63FA" w:rsidRPr="00F6507C">
              <w:t>разрешений на</w:t>
            </w:r>
            <w:r w:rsidR="00404A9C" w:rsidRPr="00F6507C">
              <w:t xml:space="preserve"> ввод</w:t>
            </w:r>
            <w:r w:rsidR="00262941" w:rsidRPr="00F6507C">
              <w:t xml:space="preserve"> объекта капитального строительства</w:t>
            </w:r>
            <w:r w:rsidR="00404A9C" w:rsidRPr="00F6507C">
              <w:t xml:space="preserve">, копии   актов по форме КС-11 </w:t>
            </w:r>
            <w:r w:rsidR="00A22F67" w:rsidRPr="00F6507C">
              <w:t>и/</w:t>
            </w:r>
            <w:r w:rsidR="00404A9C" w:rsidRPr="00F6507C">
              <w:t>или КС-14, копии актов сдачи-приемки работ, копии справок</w:t>
            </w:r>
            <w:r w:rsidR="00D718AA">
              <w:t xml:space="preserve"> о стоимости выполненных работ)</w:t>
            </w:r>
            <w:r>
              <w:t>;</w:t>
            </w:r>
          </w:p>
          <w:p w:rsidR="008E281A" w:rsidRDefault="008E281A" w:rsidP="00D718AA">
            <w:pPr>
              <w:autoSpaceDE w:val="0"/>
              <w:autoSpaceDN w:val="0"/>
              <w:adjustRightInd w:val="0"/>
              <w:spacing w:after="0"/>
              <w:ind w:left="69"/>
            </w:pPr>
            <w:r>
              <w:t>-копи</w:t>
            </w:r>
            <w:r w:rsidRPr="008E281A">
              <w:t>и трудовых книжек</w:t>
            </w:r>
            <w:r>
              <w:t>;</w:t>
            </w:r>
          </w:p>
          <w:p w:rsidR="008E281A" w:rsidRPr="00DB3E6E" w:rsidRDefault="008E281A" w:rsidP="008E281A">
            <w:pPr>
              <w:autoSpaceDE w:val="0"/>
              <w:autoSpaceDN w:val="0"/>
              <w:adjustRightInd w:val="0"/>
              <w:spacing w:after="0"/>
              <w:ind w:left="69"/>
            </w:pPr>
            <w:bookmarkStart w:id="36" w:name="_Hlk522194930"/>
            <w:r>
              <w:t>-</w:t>
            </w:r>
            <w:r w:rsidRPr="008E281A">
              <w:t>копии паспортов самоходных машин и копии свидетельствами о регистрации транспортных средств</w:t>
            </w:r>
            <w:bookmarkEnd w:id="36"/>
            <w: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Требования к оформлению заявок на участие в </w:t>
            </w:r>
            <w:r w:rsidRPr="00A9547A">
              <w:lastRenderedPageBreak/>
              <w:t>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lastRenderedPageBreak/>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w:t>
            </w:r>
            <w:r w:rsidRPr="00A9547A">
              <w:rPr>
                <w:szCs w:val="24"/>
              </w:rPr>
              <w:lastRenderedPageBreak/>
              <w:t xml:space="preserve">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8E1621">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3553A" w:rsidRDefault="00F00864" w:rsidP="004232AD">
            <w:pPr>
              <w:widowControl w:val="0"/>
              <w:suppressLineNumbers/>
              <w:suppressAutoHyphens/>
              <w:spacing w:after="0"/>
              <w:rPr>
                <w:b/>
              </w:rPr>
            </w:pPr>
            <w:r w:rsidRPr="0063553A">
              <w:rPr>
                <w:b/>
              </w:rPr>
              <w:t>«</w:t>
            </w:r>
            <w:r w:rsidR="008E281A">
              <w:rPr>
                <w:b/>
              </w:rPr>
              <w:t>6</w:t>
            </w:r>
            <w:r w:rsidR="00CB0BDC" w:rsidRPr="0063553A">
              <w:rPr>
                <w:b/>
              </w:rPr>
              <w:t>»</w:t>
            </w:r>
            <w:r w:rsidR="00BE44E4" w:rsidRPr="0063553A">
              <w:rPr>
                <w:b/>
              </w:rPr>
              <w:t xml:space="preserve"> </w:t>
            </w:r>
            <w:r w:rsidR="008E281A">
              <w:rPr>
                <w:b/>
              </w:rPr>
              <w:t>ноября</w:t>
            </w:r>
            <w:r w:rsidR="00F55899" w:rsidRPr="0063553A">
              <w:rPr>
                <w:b/>
              </w:rPr>
              <w:t xml:space="preserve"> </w:t>
            </w:r>
            <w:r w:rsidR="00CB0BDC" w:rsidRPr="0063553A">
              <w:rPr>
                <w:b/>
              </w:rPr>
              <w:t>201</w:t>
            </w:r>
            <w:r w:rsidR="000E436C" w:rsidRPr="0063553A">
              <w:rPr>
                <w:b/>
              </w:rPr>
              <w:t>8</w:t>
            </w:r>
            <w:r w:rsidR="00CB0BDC" w:rsidRPr="0063553A">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8E281A">
              <w:rPr>
                <w:b/>
              </w:rPr>
              <w:t>«</w:t>
            </w:r>
            <w:r w:rsidR="008E281A" w:rsidRPr="008E281A">
              <w:rPr>
                <w:b/>
              </w:rPr>
              <w:t>2</w:t>
            </w:r>
            <w:r w:rsidR="008E281A">
              <w:rPr>
                <w:b/>
              </w:rPr>
              <w:t>7</w:t>
            </w:r>
            <w:r w:rsidRPr="0063553A">
              <w:rPr>
                <w:b/>
              </w:rPr>
              <w:t xml:space="preserve">» </w:t>
            </w:r>
            <w:r w:rsidR="008E281A">
              <w:rPr>
                <w:b/>
              </w:rPr>
              <w:t>но</w:t>
            </w:r>
            <w:r w:rsidR="0040411A" w:rsidRPr="0063553A">
              <w:rPr>
                <w:b/>
              </w:rPr>
              <w:t>ября</w:t>
            </w:r>
            <w:r w:rsidR="0080474C" w:rsidRPr="0063553A">
              <w:rPr>
                <w:b/>
              </w:rPr>
              <w:t xml:space="preserve"> </w:t>
            </w:r>
            <w:r w:rsidRPr="0063553A">
              <w:rPr>
                <w:b/>
              </w:rPr>
              <w:t>201</w:t>
            </w:r>
            <w:r w:rsidR="000E436C" w:rsidRPr="0063553A">
              <w:rPr>
                <w:b/>
              </w:rPr>
              <w:t>8</w:t>
            </w:r>
            <w:r w:rsidRPr="0063553A">
              <w:rPr>
                <w:b/>
              </w:rPr>
              <w:t xml:space="preserve"> г. </w:t>
            </w:r>
            <w:r w:rsidR="00813152" w:rsidRPr="0063553A">
              <w:rPr>
                <w:b/>
              </w:rPr>
              <w:t>10:</w:t>
            </w:r>
            <w:r w:rsidR="00B83EF8">
              <w:rPr>
                <w:b/>
              </w:rPr>
              <w:t>0</w:t>
            </w:r>
            <w:r w:rsidR="00813152" w:rsidRPr="0063553A">
              <w:rPr>
                <w:b/>
              </w:rPr>
              <w:t>0 часов</w:t>
            </w:r>
            <w:r w:rsidR="00813152" w:rsidRPr="0063553A">
              <w:t xml:space="preserve"> </w:t>
            </w:r>
            <w:r w:rsidR="00813152" w:rsidRPr="00455332">
              <w:t>(по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w:t>
            </w:r>
            <w:r w:rsidRPr="00A9547A">
              <w:lastRenderedPageBreak/>
              <w:t>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lastRenderedPageBreak/>
              <w:t xml:space="preserve">5% от начальной (максимальной) цены договора, </w:t>
            </w:r>
            <w:r w:rsidRPr="00A9547A">
              <w:t xml:space="preserve">что </w:t>
            </w:r>
            <w:r w:rsidRPr="000E3A6F">
              <w:t>составляет</w:t>
            </w:r>
            <w:r w:rsidR="008E281A">
              <w:t xml:space="preserve"> </w:t>
            </w:r>
            <w:r w:rsidR="008E281A" w:rsidRPr="008E281A">
              <w:rPr>
                <w:b/>
              </w:rPr>
              <w:t>8 136 471</w:t>
            </w:r>
            <w:r w:rsidR="006B5631">
              <w:t xml:space="preserve"> </w:t>
            </w:r>
            <w:r w:rsidR="00684478">
              <w:rPr>
                <w:b/>
              </w:rPr>
              <w:t>(</w:t>
            </w:r>
            <w:r w:rsidR="008E281A">
              <w:rPr>
                <w:b/>
              </w:rPr>
              <w:t>восемь миллионов сто тридцать шесть тысяч четыреста семьдесят один</w:t>
            </w:r>
            <w:r w:rsidR="00684478">
              <w:rPr>
                <w:b/>
              </w:rPr>
              <w:t>) руб</w:t>
            </w:r>
            <w:r w:rsidR="008E281A">
              <w:rPr>
                <w:b/>
              </w:rPr>
              <w:t>.</w:t>
            </w:r>
            <w:r w:rsidR="00684478">
              <w:rPr>
                <w:b/>
              </w:rPr>
              <w:t xml:space="preserve"> </w:t>
            </w:r>
            <w:r w:rsidR="008E281A">
              <w:rPr>
                <w:b/>
              </w:rPr>
              <w:t>00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lastRenderedPageBreak/>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lastRenderedPageBreak/>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83EF8">
              <w:rPr>
                <w:b/>
              </w:rPr>
              <w:t>2</w:t>
            </w:r>
            <w:r w:rsidR="008E281A">
              <w:rPr>
                <w:b/>
              </w:rPr>
              <w:t>7</w:t>
            </w:r>
            <w:r w:rsidR="00876A28" w:rsidRPr="00B47A50">
              <w:rPr>
                <w:b/>
              </w:rPr>
              <w:t xml:space="preserve">» </w:t>
            </w:r>
            <w:r w:rsidR="008E281A">
              <w:rPr>
                <w:b/>
              </w:rPr>
              <w:t>ноя</w:t>
            </w:r>
            <w:r w:rsidR="00765D50">
              <w:rPr>
                <w:b/>
              </w:rPr>
              <w:t>бря</w:t>
            </w:r>
            <w:r w:rsidR="00262941" w:rsidRPr="00B47A50">
              <w:rPr>
                <w:b/>
              </w:rPr>
              <w:t xml:space="preserve"> </w:t>
            </w:r>
            <w:r w:rsidR="00C907C3" w:rsidRPr="00B47A50">
              <w:rPr>
                <w:b/>
              </w:rPr>
              <w:t>201</w:t>
            </w:r>
            <w:r w:rsidR="00E60850">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w:t>
            </w:r>
            <w:r w:rsidR="006D62C2">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9876B1" w:rsidP="004232AD">
            <w:pPr>
              <w:spacing w:after="0"/>
            </w:pPr>
            <w:r>
              <w:t xml:space="preserve">Рассмотрение заявок на участие в конкурсе </w:t>
            </w:r>
            <w:proofErr w:type="gramStart"/>
            <w:r>
              <w:t xml:space="preserve">и </w:t>
            </w:r>
            <w:r w:rsidR="004C3C4A">
              <w:t xml:space="preserve"> подведение</w:t>
            </w:r>
            <w:proofErr w:type="gramEnd"/>
            <w:r w:rsidR="004C3C4A">
              <w:t xml:space="preserve"> итогов конкурса</w:t>
            </w:r>
            <w:r w:rsidR="00BE44E4" w:rsidRPr="00F6507C">
              <w:t xml:space="preserve"> </w:t>
            </w:r>
            <w:r w:rsidR="005A579C" w:rsidRPr="00F6507C">
              <w:t xml:space="preserve"> </w:t>
            </w:r>
            <w:r w:rsidR="00BE44E4"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8E281A">
              <w:rPr>
                <w:b/>
              </w:rPr>
              <w:t>4</w:t>
            </w:r>
            <w:r w:rsidR="00D718AA" w:rsidRPr="00B47A50">
              <w:rPr>
                <w:b/>
              </w:rPr>
              <w:t>»</w:t>
            </w:r>
            <w:r w:rsidR="00BE44E4" w:rsidRPr="00B47A50">
              <w:rPr>
                <w:b/>
              </w:rPr>
              <w:t xml:space="preserve"> </w:t>
            </w:r>
            <w:r w:rsidR="008E281A">
              <w:rPr>
                <w:b/>
              </w:rPr>
              <w:t>дека</w:t>
            </w:r>
            <w:r w:rsidR="00765D50">
              <w:rPr>
                <w:b/>
              </w:rPr>
              <w:t>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rsidR="00B83EF8">
              <w:t>0</w:t>
            </w:r>
            <w:r w:rsidR="00D718AA">
              <w:t xml:space="preserve">0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8E281A">
            <w:pPr>
              <w:spacing w:after="0"/>
            </w:pPr>
            <w:r w:rsidRPr="00B47A50">
              <w:rPr>
                <w:b/>
              </w:rPr>
              <w:t>«</w:t>
            </w:r>
            <w:r w:rsidR="008E281A">
              <w:rPr>
                <w:b/>
              </w:rPr>
              <w:t>5</w:t>
            </w:r>
            <w:r w:rsidR="00472062" w:rsidRPr="00B47A50">
              <w:rPr>
                <w:b/>
              </w:rPr>
              <w:t xml:space="preserve">» </w:t>
            </w:r>
            <w:r w:rsidR="008E281A">
              <w:rPr>
                <w:b/>
              </w:rPr>
              <w:t>дека</w:t>
            </w:r>
            <w:r w:rsidR="00765D50">
              <w:rPr>
                <w:b/>
              </w:rPr>
              <w:t>бря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6D62C2" w:rsidP="004232AD">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оценки  </w:t>
            </w:r>
            <w:r w:rsidR="00F84F0B">
              <w:t xml:space="preserve"> и сопоставления заявок </w:t>
            </w:r>
            <w:r w:rsidRPr="00A9547A">
              <w:t>на участие в конкурсе</w:t>
            </w:r>
            <w:r w:rsidR="00F84F0B">
              <w:t>,</w:t>
            </w:r>
            <w:r w:rsidRPr="00A9547A">
              <w:t xml:space="preserve"> порядок оценки</w:t>
            </w:r>
            <w:r w:rsidR="00F84F0B">
              <w:t xml:space="preserve"> </w:t>
            </w:r>
            <w:proofErr w:type="gramStart"/>
            <w:r w:rsidR="00F84F0B">
              <w:t>и</w:t>
            </w:r>
            <w:r w:rsidRPr="00A9547A">
              <w:t xml:space="preserve">  сопоставления</w:t>
            </w:r>
            <w:proofErr w:type="gramEnd"/>
            <w:r w:rsidRPr="00A9547A">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8E281A">
              <w:t>4</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8E281A">
              <w:t>6</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8E1621">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w:t>
            </w:r>
            <w:r w:rsidRPr="00A9547A">
              <w:lastRenderedPageBreak/>
              <w:t xml:space="preserve">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lastRenderedPageBreak/>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9C2B20">
              <w:rPr>
                <w:bCs/>
              </w:rPr>
              <w:t xml:space="preserve">В соответствии со ст.9 проекта договора, п. 8.2. Раздела </w:t>
            </w:r>
            <w:r w:rsidRPr="009C2B20">
              <w:rPr>
                <w:bCs/>
                <w:lang w:val="en-US"/>
              </w:rPr>
              <w:t>I</w:t>
            </w:r>
            <w:r w:rsidRPr="009C2B20">
              <w:rPr>
                <w:bCs/>
              </w:rPr>
              <w:t xml:space="preserve"> настоящей документации</w:t>
            </w:r>
            <w:r w:rsidR="00467E75" w:rsidRPr="009C2B20">
              <w:rPr>
                <w:bCs/>
              </w:rPr>
              <w:t>.</w:t>
            </w:r>
          </w:p>
          <w:p w:rsidR="00467E75" w:rsidRPr="00A9547A" w:rsidRDefault="00467E75" w:rsidP="00247512">
            <w:pPr>
              <w:keepNext/>
              <w:keepLines/>
              <w:widowControl w:val="0"/>
              <w:suppressLineNumbers/>
              <w:suppressAutoHyphens/>
              <w:spacing w:after="0"/>
              <w:rPr>
                <w:bCs/>
              </w:rPr>
            </w:pPr>
            <w:r>
              <w:rPr>
                <w:bCs/>
              </w:rPr>
              <w:t xml:space="preserve">В случае, если при проведении конкурентной закупки начальная </w:t>
            </w:r>
            <w:r>
              <w:rPr>
                <w:bCs/>
              </w:rPr>
              <w:lastRenderedPageBreak/>
              <w:t>(максимальная)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8E1621">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lastRenderedPageBreak/>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19090C">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w:t>
            </w:r>
            <w:r w:rsidR="00DE6EFC" w:rsidRPr="006B38DD">
              <w:rPr>
                <w:rFonts w:ascii="Times New Roman" w:hAnsi="Times New Roman"/>
                <w:sz w:val="24"/>
                <w:szCs w:val="24"/>
              </w:rPr>
              <w:lastRenderedPageBreak/>
              <w:t xml:space="preserve">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7"/>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8E1621">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8E1621">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6D62C2" w:rsidRDefault="00E770FE" w:rsidP="00E770FE">
            <w:pPr>
              <w:autoSpaceDE w:val="0"/>
              <w:autoSpaceDN w:val="0"/>
              <w:adjustRightInd w:val="0"/>
              <w:spacing w:after="0"/>
            </w:pPr>
            <w:r w:rsidRPr="006D62C2">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критерия: 40 %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lastRenderedPageBreak/>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8E281A" w:rsidRDefault="008E281A"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8E281A" w:rsidRPr="008E281A" w:rsidRDefault="008E281A" w:rsidP="008E281A">
      <w:pPr>
        <w:autoSpaceDE w:val="0"/>
        <w:autoSpaceDN w:val="0"/>
        <w:adjustRightInd w:val="0"/>
        <w:rPr>
          <w:b/>
          <w:bCs/>
          <w:color w:val="000000"/>
        </w:rPr>
      </w:pPr>
      <w:r w:rsidRPr="008E281A">
        <w:rPr>
          <w:b/>
          <w:bCs/>
          <w:color w:val="000000"/>
        </w:rPr>
        <w:t>Значимость критерия: 60 %</w:t>
      </w:r>
    </w:p>
    <w:p w:rsidR="008E281A" w:rsidRPr="008E281A" w:rsidRDefault="008E281A" w:rsidP="008E281A">
      <w:pPr>
        <w:autoSpaceDE w:val="0"/>
        <w:autoSpaceDN w:val="0"/>
        <w:adjustRightInd w:val="0"/>
        <w:spacing w:after="0"/>
        <w:jc w:val="left"/>
        <w:rPr>
          <w:b/>
          <w:bCs/>
          <w:color w:val="000000"/>
        </w:rPr>
      </w:pPr>
      <w:r w:rsidRPr="008E281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E281A" w:rsidRPr="008E281A" w:rsidRDefault="008E281A" w:rsidP="008E281A">
      <w:pPr>
        <w:autoSpaceDE w:val="0"/>
        <w:autoSpaceDN w:val="0"/>
        <w:adjustRightInd w:val="0"/>
        <w:spacing w:after="0"/>
        <w:ind w:firstLine="708"/>
        <w:jc w:val="left"/>
        <w:rPr>
          <w:bCs/>
          <w:color w:val="000000"/>
        </w:rPr>
      </w:pPr>
      <w:r w:rsidRPr="008E281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E281A" w:rsidRPr="008E281A" w:rsidRDefault="008E281A" w:rsidP="008E281A">
      <w:pPr>
        <w:autoSpaceDE w:val="0"/>
        <w:autoSpaceDN w:val="0"/>
        <w:adjustRightInd w:val="0"/>
        <w:spacing w:after="0"/>
        <w:ind w:firstLine="708"/>
        <w:jc w:val="left"/>
        <w:rPr>
          <w:bCs/>
          <w:color w:val="000000"/>
        </w:rPr>
      </w:pPr>
    </w:p>
    <w:p w:rsidR="008E281A" w:rsidRPr="008E281A" w:rsidRDefault="008E281A" w:rsidP="008E281A">
      <w:pPr>
        <w:autoSpaceDE w:val="0"/>
        <w:autoSpaceDN w:val="0"/>
        <w:adjustRightInd w:val="0"/>
        <w:spacing w:after="0"/>
        <w:jc w:val="left"/>
        <w:rPr>
          <w:b/>
        </w:rPr>
      </w:pPr>
      <w:r w:rsidRPr="008E281A">
        <w:rPr>
          <w:b/>
        </w:rPr>
        <w:t>Порядок оценки заявок по критерию:</w:t>
      </w:r>
    </w:p>
    <w:p w:rsidR="008E281A" w:rsidRPr="008E281A" w:rsidRDefault="008E281A" w:rsidP="008E281A">
      <w:pPr>
        <w:spacing w:after="0"/>
        <w:rPr>
          <w:b/>
          <w:sz w:val="22"/>
          <w:szCs w:val="22"/>
          <w:lang w:val="x-none" w:eastAsia="x-none"/>
        </w:rPr>
      </w:pPr>
      <w:r w:rsidRPr="008E281A">
        <w:rPr>
          <w:b/>
          <w:lang w:val="x-none" w:eastAsia="x-none"/>
        </w:rPr>
        <w:t xml:space="preserve">Показатель №1:  </w:t>
      </w:r>
      <w:r w:rsidRPr="008E281A">
        <w:rPr>
          <w:b/>
          <w:sz w:val="22"/>
          <w:szCs w:val="22"/>
          <w:lang w:val="x-none" w:eastAsia="x-none"/>
        </w:rPr>
        <w:t>Общее количество исполненных договоров на выполнение работ сопоставимого* характера в период с 201</w:t>
      </w:r>
      <w:r w:rsidRPr="008E281A">
        <w:rPr>
          <w:b/>
          <w:sz w:val="22"/>
          <w:szCs w:val="22"/>
          <w:lang w:eastAsia="x-none"/>
        </w:rPr>
        <w:t>4</w:t>
      </w:r>
      <w:r w:rsidRPr="008E281A">
        <w:rPr>
          <w:b/>
          <w:sz w:val="22"/>
          <w:szCs w:val="22"/>
          <w:lang w:val="x-none" w:eastAsia="x-none"/>
        </w:rPr>
        <w:t xml:space="preserve"> г. по 2018 г. включительно по строительству, реконструкции, капитальному ремонту объектов капитального строительства  </w:t>
      </w:r>
    </w:p>
    <w:tbl>
      <w:tblPr>
        <w:tblpPr w:leftFromText="180" w:rightFromText="180" w:vertAnchor="text" w:horzAnchor="margin" w:tblpY="16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369"/>
      </w:tblGrid>
      <w:tr w:rsidR="008E281A" w:rsidRPr="008E281A" w:rsidTr="008E281A">
        <w:tc>
          <w:tcPr>
            <w:tcW w:w="6095" w:type="dxa"/>
          </w:tcPr>
          <w:p w:rsidR="008E281A" w:rsidRPr="008E281A" w:rsidRDefault="008E281A" w:rsidP="008E281A">
            <w:pPr>
              <w:widowControl w:val="0"/>
              <w:autoSpaceDE w:val="0"/>
              <w:autoSpaceDN w:val="0"/>
              <w:adjustRightInd w:val="0"/>
              <w:spacing w:after="0"/>
              <w:jc w:val="center"/>
              <w:rPr>
                <w:b/>
                <w:sz w:val="20"/>
                <w:szCs w:val="20"/>
              </w:rPr>
            </w:pPr>
            <w:r w:rsidRPr="008E281A">
              <w:rPr>
                <w:b/>
                <w:bCs/>
                <w:color w:val="000000"/>
                <w:sz w:val="20"/>
                <w:szCs w:val="20"/>
              </w:rPr>
              <w:t xml:space="preserve">Наличие у участника конкурса исполненных договоров на выполнение работ сопоставимого* характера в период с 2014 г. по 2018 г включительно по строительству, реконструкции, капитальному ремонту объектов капитального строительства </w:t>
            </w:r>
          </w:p>
        </w:tc>
        <w:tc>
          <w:tcPr>
            <w:tcW w:w="3369" w:type="dxa"/>
          </w:tcPr>
          <w:p w:rsidR="008E281A" w:rsidRPr="008E281A" w:rsidRDefault="008E281A" w:rsidP="008E281A">
            <w:pPr>
              <w:widowControl w:val="0"/>
              <w:autoSpaceDE w:val="0"/>
              <w:autoSpaceDN w:val="0"/>
              <w:adjustRightInd w:val="0"/>
              <w:spacing w:after="0"/>
              <w:jc w:val="center"/>
              <w:rPr>
                <w:b/>
                <w:sz w:val="20"/>
                <w:szCs w:val="20"/>
              </w:rPr>
            </w:pPr>
          </w:p>
          <w:p w:rsidR="008E281A" w:rsidRPr="008E281A" w:rsidRDefault="008E281A" w:rsidP="008E281A">
            <w:pPr>
              <w:widowControl w:val="0"/>
              <w:autoSpaceDE w:val="0"/>
              <w:autoSpaceDN w:val="0"/>
              <w:adjustRightInd w:val="0"/>
              <w:spacing w:after="0"/>
              <w:jc w:val="center"/>
              <w:rPr>
                <w:b/>
                <w:sz w:val="20"/>
                <w:szCs w:val="20"/>
              </w:rPr>
            </w:pPr>
            <w:r w:rsidRPr="008E281A">
              <w:rPr>
                <w:b/>
                <w:sz w:val="20"/>
                <w:szCs w:val="20"/>
              </w:rPr>
              <w:t>Количество баллов</w:t>
            </w:r>
          </w:p>
        </w:tc>
      </w:tr>
      <w:tr w:rsidR="008E281A" w:rsidRPr="008E281A" w:rsidTr="008E281A">
        <w:tc>
          <w:tcPr>
            <w:tcW w:w="6095" w:type="dxa"/>
          </w:tcPr>
          <w:p w:rsidR="008E281A" w:rsidRPr="008E281A" w:rsidRDefault="008E281A" w:rsidP="008E281A">
            <w:pPr>
              <w:autoSpaceDE w:val="0"/>
              <w:autoSpaceDN w:val="0"/>
              <w:adjustRightInd w:val="0"/>
              <w:spacing w:after="0"/>
              <w:jc w:val="left"/>
              <w:rPr>
                <w:sz w:val="22"/>
                <w:szCs w:val="22"/>
              </w:rPr>
            </w:pPr>
            <w:r w:rsidRPr="008E281A">
              <w:rPr>
                <w:bCs/>
                <w:color w:val="000000"/>
                <w:sz w:val="22"/>
                <w:szCs w:val="22"/>
              </w:rPr>
              <w:t>от 0 до 10 (включительно)</w:t>
            </w:r>
          </w:p>
        </w:tc>
        <w:tc>
          <w:tcPr>
            <w:tcW w:w="3369"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5</w:t>
            </w:r>
          </w:p>
        </w:tc>
      </w:tr>
      <w:tr w:rsidR="008E281A" w:rsidRPr="008E281A" w:rsidTr="008E281A">
        <w:tc>
          <w:tcPr>
            <w:tcW w:w="6095" w:type="dxa"/>
          </w:tcPr>
          <w:p w:rsidR="008E281A" w:rsidRPr="008E281A" w:rsidRDefault="008E281A" w:rsidP="008E281A">
            <w:pPr>
              <w:autoSpaceDE w:val="0"/>
              <w:autoSpaceDN w:val="0"/>
              <w:adjustRightInd w:val="0"/>
              <w:spacing w:after="0"/>
              <w:jc w:val="left"/>
              <w:rPr>
                <w:sz w:val="22"/>
                <w:szCs w:val="22"/>
              </w:rPr>
            </w:pPr>
            <w:r w:rsidRPr="008E281A">
              <w:rPr>
                <w:bCs/>
                <w:color w:val="000000"/>
                <w:sz w:val="22"/>
                <w:szCs w:val="22"/>
              </w:rPr>
              <w:t>от 11 до 20 (включительно)</w:t>
            </w:r>
          </w:p>
        </w:tc>
        <w:tc>
          <w:tcPr>
            <w:tcW w:w="3369"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10</w:t>
            </w:r>
          </w:p>
        </w:tc>
      </w:tr>
      <w:tr w:rsidR="008E281A" w:rsidRPr="008E281A" w:rsidTr="008E281A">
        <w:tc>
          <w:tcPr>
            <w:tcW w:w="6095" w:type="dxa"/>
          </w:tcPr>
          <w:p w:rsidR="008E281A" w:rsidRPr="008E281A" w:rsidRDefault="008E281A" w:rsidP="008E281A">
            <w:pPr>
              <w:spacing w:after="0"/>
              <w:jc w:val="left"/>
              <w:rPr>
                <w:bCs/>
                <w:color w:val="000000"/>
                <w:sz w:val="22"/>
                <w:szCs w:val="22"/>
              </w:rPr>
            </w:pPr>
            <w:r w:rsidRPr="008E281A">
              <w:rPr>
                <w:bCs/>
                <w:color w:val="000000"/>
                <w:sz w:val="22"/>
                <w:szCs w:val="22"/>
              </w:rPr>
              <w:t>от 21 до 30 (включительно)</w:t>
            </w:r>
          </w:p>
        </w:tc>
        <w:tc>
          <w:tcPr>
            <w:tcW w:w="3369"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20</w:t>
            </w:r>
          </w:p>
        </w:tc>
      </w:tr>
      <w:tr w:rsidR="008E281A" w:rsidRPr="008E281A" w:rsidTr="008E281A">
        <w:tc>
          <w:tcPr>
            <w:tcW w:w="6095" w:type="dxa"/>
          </w:tcPr>
          <w:p w:rsidR="008E281A" w:rsidRPr="008E281A" w:rsidRDefault="008E281A" w:rsidP="008E281A">
            <w:pPr>
              <w:spacing w:after="0"/>
              <w:jc w:val="left"/>
              <w:rPr>
                <w:sz w:val="22"/>
              </w:rPr>
            </w:pPr>
            <w:r w:rsidRPr="008E281A">
              <w:rPr>
                <w:bCs/>
                <w:color w:val="000000"/>
                <w:sz w:val="22"/>
                <w:szCs w:val="22"/>
              </w:rPr>
              <w:t>свыше 30</w:t>
            </w:r>
          </w:p>
        </w:tc>
        <w:tc>
          <w:tcPr>
            <w:tcW w:w="3369"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30</w:t>
            </w:r>
          </w:p>
        </w:tc>
      </w:tr>
    </w:tbl>
    <w:p w:rsidR="008E281A" w:rsidRPr="008E281A" w:rsidRDefault="008E281A" w:rsidP="008E281A">
      <w:pPr>
        <w:autoSpaceDE w:val="0"/>
        <w:autoSpaceDN w:val="0"/>
        <w:adjustRightInd w:val="0"/>
        <w:spacing w:after="0"/>
        <w:jc w:val="left"/>
      </w:pPr>
      <w:r w:rsidRPr="008E281A">
        <w:rPr>
          <w:sz w:val="22"/>
          <w:szCs w:val="22"/>
        </w:rPr>
        <w:t xml:space="preserve">- </w:t>
      </w:r>
      <w:r w:rsidRPr="008E281A">
        <w:t>показатель № 1 подтверждается предоставлением копий исполненных договоров (государственных контрактов) и копий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8E281A" w:rsidRPr="008E281A" w:rsidRDefault="008E281A" w:rsidP="008E281A">
      <w:pPr>
        <w:autoSpaceDE w:val="0"/>
        <w:autoSpaceDN w:val="0"/>
        <w:adjustRightInd w:val="0"/>
        <w:spacing w:after="0"/>
        <w:jc w:val="left"/>
        <w:rPr>
          <w:b/>
        </w:rPr>
      </w:pPr>
    </w:p>
    <w:p w:rsidR="008E281A" w:rsidRPr="008E281A" w:rsidRDefault="008E281A" w:rsidP="008E281A">
      <w:pPr>
        <w:autoSpaceDE w:val="0"/>
        <w:autoSpaceDN w:val="0"/>
        <w:adjustRightInd w:val="0"/>
        <w:spacing w:after="0"/>
        <w:jc w:val="left"/>
        <w:rPr>
          <w:b/>
          <w:sz w:val="22"/>
          <w:szCs w:val="22"/>
        </w:rPr>
      </w:pPr>
      <w:r w:rsidRPr="008E281A">
        <w:rPr>
          <w:b/>
        </w:rPr>
        <w:t xml:space="preserve">Показатель № </w:t>
      </w:r>
      <w:proofErr w:type="gramStart"/>
      <w:r w:rsidRPr="008E281A">
        <w:rPr>
          <w:b/>
        </w:rPr>
        <w:t xml:space="preserve">2:  </w:t>
      </w:r>
      <w:r w:rsidRPr="008E281A">
        <w:rPr>
          <w:b/>
          <w:sz w:val="22"/>
          <w:szCs w:val="22"/>
        </w:rPr>
        <w:t>Наличие</w:t>
      </w:r>
      <w:proofErr w:type="gramEnd"/>
      <w:r w:rsidRPr="008E281A">
        <w:rPr>
          <w:b/>
          <w:sz w:val="22"/>
          <w:szCs w:val="22"/>
        </w:rPr>
        <w:t xml:space="preserve"> у участника закупки квалифицированных работников строительных и инженерных специальностей для выполнения работ по предмету конкурса, имеющих опыт практической деятельности:</w:t>
      </w:r>
    </w:p>
    <w:tbl>
      <w:tblPr>
        <w:tblpPr w:leftFromText="180" w:rightFromText="180" w:vertAnchor="text" w:horzAnchor="margin" w:tblpY="16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511"/>
      </w:tblGrid>
      <w:tr w:rsidR="008E281A" w:rsidRPr="008E281A" w:rsidTr="008E281A">
        <w:tc>
          <w:tcPr>
            <w:tcW w:w="6095" w:type="dxa"/>
          </w:tcPr>
          <w:p w:rsidR="008E281A" w:rsidRPr="008E281A" w:rsidRDefault="008E281A" w:rsidP="008E281A">
            <w:pPr>
              <w:autoSpaceDE w:val="0"/>
              <w:autoSpaceDN w:val="0"/>
              <w:adjustRightInd w:val="0"/>
              <w:spacing w:after="0"/>
              <w:jc w:val="left"/>
            </w:pPr>
            <w:r w:rsidRPr="008E281A">
              <w:t>Количество персонала</w:t>
            </w:r>
          </w:p>
        </w:tc>
        <w:tc>
          <w:tcPr>
            <w:tcW w:w="3511" w:type="dxa"/>
          </w:tcPr>
          <w:p w:rsidR="008E281A" w:rsidRPr="008E281A" w:rsidRDefault="008E281A" w:rsidP="008E281A">
            <w:pPr>
              <w:autoSpaceDE w:val="0"/>
              <w:autoSpaceDN w:val="0"/>
              <w:adjustRightInd w:val="0"/>
              <w:spacing w:after="0"/>
              <w:jc w:val="left"/>
            </w:pPr>
            <w:r w:rsidRPr="008E281A">
              <w:t>Количество балов</w:t>
            </w:r>
          </w:p>
        </w:tc>
      </w:tr>
      <w:tr w:rsidR="008E281A" w:rsidRPr="008E281A" w:rsidTr="008E281A">
        <w:tc>
          <w:tcPr>
            <w:tcW w:w="6095" w:type="dxa"/>
          </w:tcPr>
          <w:p w:rsidR="008E281A" w:rsidRPr="008E281A" w:rsidRDefault="008E281A" w:rsidP="008E281A">
            <w:pPr>
              <w:autoSpaceDE w:val="0"/>
              <w:autoSpaceDN w:val="0"/>
              <w:adjustRightInd w:val="0"/>
              <w:spacing w:after="0"/>
              <w:jc w:val="left"/>
            </w:pPr>
            <w:r w:rsidRPr="008E281A">
              <w:t xml:space="preserve">от </w:t>
            </w:r>
            <w:proofErr w:type="gramStart"/>
            <w:r w:rsidRPr="008E281A">
              <w:t>0  до</w:t>
            </w:r>
            <w:proofErr w:type="gramEnd"/>
            <w:r w:rsidRPr="008E281A">
              <w:t xml:space="preserve"> 99 человек (включительно)</w:t>
            </w:r>
          </w:p>
        </w:tc>
        <w:tc>
          <w:tcPr>
            <w:tcW w:w="3511" w:type="dxa"/>
          </w:tcPr>
          <w:p w:rsidR="008E281A" w:rsidRPr="008E281A" w:rsidRDefault="008E281A" w:rsidP="008E281A">
            <w:pPr>
              <w:autoSpaceDE w:val="0"/>
              <w:autoSpaceDN w:val="0"/>
              <w:adjustRightInd w:val="0"/>
              <w:spacing w:after="0"/>
              <w:jc w:val="left"/>
            </w:pPr>
            <w:r w:rsidRPr="008E281A">
              <w:t>5</w:t>
            </w:r>
          </w:p>
        </w:tc>
      </w:tr>
      <w:tr w:rsidR="008E281A" w:rsidRPr="008E281A" w:rsidTr="008E281A">
        <w:tc>
          <w:tcPr>
            <w:tcW w:w="6095" w:type="dxa"/>
          </w:tcPr>
          <w:p w:rsidR="008E281A" w:rsidRPr="008E281A" w:rsidRDefault="008E281A" w:rsidP="008E281A">
            <w:pPr>
              <w:autoSpaceDE w:val="0"/>
              <w:autoSpaceDN w:val="0"/>
              <w:adjustRightInd w:val="0"/>
              <w:spacing w:after="0"/>
              <w:jc w:val="left"/>
            </w:pPr>
            <w:r w:rsidRPr="008E281A">
              <w:t xml:space="preserve">от </w:t>
            </w:r>
            <w:proofErr w:type="gramStart"/>
            <w:r w:rsidRPr="008E281A">
              <w:t>100  до</w:t>
            </w:r>
            <w:proofErr w:type="gramEnd"/>
            <w:r w:rsidRPr="008E281A">
              <w:t xml:space="preserve"> 199 человек (включительно)</w:t>
            </w:r>
          </w:p>
        </w:tc>
        <w:tc>
          <w:tcPr>
            <w:tcW w:w="3511" w:type="dxa"/>
          </w:tcPr>
          <w:p w:rsidR="008E281A" w:rsidRPr="008E281A" w:rsidRDefault="008E281A" w:rsidP="008E281A">
            <w:pPr>
              <w:autoSpaceDE w:val="0"/>
              <w:autoSpaceDN w:val="0"/>
              <w:adjustRightInd w:val="0"/>
              <w:spacing w:after="0"/>
              <w:jc w:val="left"/>
            </w:pPr>
            <w:r w:rsidRPr="008E281A">
              <w:t>10</w:t>
            </w:r>
          </w:p>
        </w:tc>
      </w:tr>
      <w:tr w:rsidR="008E281A" w:rsidRPr="008E281A" w:rsidTr="008E281A">
        <w:tc>
          <w:tcPr>
            <w:tcW w:w="6095" w:type="dxa"/>
          </w:tcPr>
          <w:p w:rsidR="008E281A" w:rsidRPr="008E281A" w:rsidRDefault="008E281A" w:rsidP="008E281A">
            <w:pPr>
              <w:autoSpaceDE w:val="0"/>
              <w:autoSpaceDN w:val="0"/>
              <w:adjustRightInd w:val="0"/>
              <w:spacing w:after="0"/>
              <w:jc w:val="left"/>
            </w:pPr>
            <w:r w:rsidRPr="008E281A">
              <w:t>свыше 200</w:t>
            </w:r>
          </w:p>
        </w:tc>
        <w:tc>
          <w:tcPr>
            <w:tcW w:w="3511" w:type="dxa"/>
          </w:tcPr>
          <w:p w:rsidR="008E281A" w:rsidRPr="008E281A" w:rsidRDefault="008E281A" w:rsidP="008E281A">
            <w:pPr>
              <w:autoSpaceDE w:val="0"/>
              <w:autoSpaceDN w:val="0"/>
              <w:adjustRightInd w:val="0"/>
              <w:spacing w:after="0"/>
              <w:jc w:val="left"/>
            </w:pPr>
            <w:r w:rsidRPr="008E281A">
              <w:t>20</w:t>
            </w:r>
          </w:p>
        </w:tc>
      </w:tr>
    </w:tbl>
    <w:p w:rsidR="008E281A" w:rsidRPr="008E281A" w:rsidRDefault="008E281A" w:rsidP="008E281A">
      <w:pPr>
        <w:autoSpaceDE w:val="0"/>
        <w:autoSpaceDN w:val="0"/>
        <w:adjustRightInd w:val="0"/>
        <w:spacing w:after="0"/>
        <w:jc w:val="left"/>
      </w:pPr>
      <w:r w:rsidRPr="008E281A">
        <w:t>- показатель № 2 подтверждается копиями трудовых книжек.</w:t>
      </w:r>
    </w:p>
    <w:p w:rsidR="008E281A" w:rsidRPr="008E281A" w:rsidRDefault="008E281A" w:rsidP="008E281A">
      <w:pPr>
        <w:autoSpaceDE w:val="0"/>
        <w:autoSpaceDN w:val="0"/>
        <w:adjustRightInd w:val="0"/>
        <w:spacing w:after="0"/>
        <w:jc w:val="left"/>
        <w:rPr>
          <w:b/>
        </w:rPr>
      </w:pPr>
    </w:p>
    <w:p w:rsidR="008E281A" w:rsidRPr="008E281A" w:rsidRDefault="008E281A" w:rsidP="008E281A">
      <w:pPr>
        <w:autoSpaceDE w:val="0"/>
        <w:autoSpaceDN w:val="0"/>
        <w:adjustRightInd w:val="0"/>
        <w:spacing w:after="0"/>
        <w:rPr>
          <w:b/>
          <w:sz w:val="22"/>
          <w:szCs w:val="22"/>
        </w:rPr>
      </w:pPr>
      <w:r w:rsidRPr="008E281A">
        <w:rPr>
          <w:b/>
        </w:rPr>
        <w:t xml:space="preserve">Показатель № 3: </w:t>
      </w:r>
      <w:r w:rsidRPr="008E281A">
        <w:rPr>
          <w:b/>
          <w:sz w:val="22"/>
          <w:szCs w:val="22"/>
        </w:rPr>
        <w:t>Максимальная сумма исполненного договора в 2014-2018 гг., сопоставимого* по характеру выполняемых работ с предметом конкурса.</w:t>
      </w:r>
    </w:p>
    <w:p w:rsidR="008E281A" w:rsidRPr="008E281A" w:rsidRDefault="008E281A" w:rsidP="008E281A">
      <w:pPr>
        <w:spacing w:after="0"/>
        <w:ind w:firstLine="708"/>
      </w:pPr>
      <w:r w:rsidRPr="008E281A">
        <w:t xml:space="preserve">Наличие у участника конкурса, исполненного в 2014-2018 г. договора, сопоставимого по характеру выполняемых работ с предметом конкурса </w:t>
      </w:r>
    </w:p>
    <w:tbl>
      <w:tblPr>
        <w:tblpPr w:leftFromText="180" w:rightFromText="180" w:vertAnchor="text" w:horzAnchor="margin" w:tblpY="16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511"/>
      </w:tblGrid>
      <w:tr w:rsidR="008E281A" w:rsidRPr="008E281A" w:rsidTr="008E281A">
        <w:tc>
          <w:tcPr>
            <w:tcW w:w="6095" w:type="dxa"/>
          </w:tcPr>
          <w:p w:rsidR="008E281A" w:rsidRPr="008E281A" w:rsidRDefault="008E281A" w:rsidP="008E281A">
            <w:pPr>
              <w:widowControl w:val="0"/>
              <w:autoSpaceDE w:val="0"/>
              <w:autoSpaceDN w:val="0"/>
              <w:adjustRightInd w:val="0"/>
              <w:spacing w:after="0"/>
              <w:jc w:val="center"/>
              <w:rPr>
                <w:b/>
                <w:sz w:val="20"/>
                <w:szCs w:val="20"/>
              </w:rPr>
            </w:pPr>
            <w:r w:rsidRPr="008E281A">
              <w:rPr>
                <w:b/>
                <w:sz w:val="20"/>
                <w:szCs w:val="20"/>
              </w:rPr>
              <w:t>Максимальная цена выполненного договора</w:t>
            </w:r>
          </w:p>
        </w:tc>
        <w:tc>
          <w:tcPr>
            <w:tcW w:w="3511" w:type="dxa"/>
          </w:tcPr>
          <w:p w:rsidR="008E281A" w:rsidRPr="008E281A" w:rsidRDefault="008E281A" w:rsidP="008E281A">
            <w:pPr>
              <w:widowControl w:val="0"/>
              <w:autoSpaceDE w:val="0"/>
              <w:autoSpaceDN w:val="0"/>
              <w:adjustRightInd w:val="0"/>
              <w:spacing w:after="0"/>
              <w:jc w:val="center"/>
              <w:rPr>
                <w:b/>
                <w:sz w:val="20"/>
                <w:szCs w:val="20"/>
              </w:rPr>
            </w:pPr>
            <w:r w:rsidRPr="008E281A">
              <w:rPr>
                <w:b/>
                <w:sz w:val="20"/>
                <w:szCs w:val="20"/>
              </w:rPr>
              <w:t>Количество балов</w:t>
            </w:r>
          </w:p>
        </w:tc>
      </w:tr>
      <w:tr w:rsidR="008E281A" w:rsidRPr="008E281A" w:rsidTr="008E281A">
        <w:tc>
          <w:tcPr>
            <w:tcW w:w="6095" w:type="dxa"/>
          </w:tcPr>
          <w:p w:rsidR="008E281A" w:rsidRPr="008E281A" w:rsidRDefault="008E281A" w:rsidP="008E281A">
            <w:pPr>
              <w:autoSpaceDE w:val="0"/>
              <w:autoSpaceDN w:val="0"/>
              <w:adjustRightInd w:val="0"/>
              <w:spacing w:after="0"/>
              <w:jc w:val="left"/>
              <w:rPr>
                <w:sz w:val="22"/>
                <w:szCs w:val="22"/>
              </w:rPr>
            </w:pPr>
            <w:r w:rsidRPr="008E281A">
              <w:rPr>
                <w:sz w:val="22"/>
              </w:rPr>
              <w:t>более 70% от начальной максимальной цены договора</w:t>
            </w:r>
          </w:p>
        </w:tc>
        <w:tc>
          <w:tcPr>
            <w:tcW w:w="3511"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20</w:t>
            </w:r>
          </w:p>
        </w:tc>
      </w:tr>
      <w:tr w:rsidR="008E281A" w:rsidRPr="008E281A" w:rsidTr="008E281A">
        <w:tc>
          <w:tcPr>
            <w:tcW w:w="6095" w:type="dxa"/>
          </w:tcPr>
          <w:p w:rsidR="008E281A" w:rsidRPr="008E281A" w:rsidRDefault="008E281A" w:rsidP="008E281A">
            <w:pPr>
              <w:autoSpaceDE w:val="0"/>
              <w:autoSpaceDN w:val="0"/>
              <w:adjustRightInd w:val="0"/>
              <w:spacing w:after="0"/>
              <w:jc w:val="left"/>
              <w:rPr>
                <w:sz w:val="22"/>
                <w:szCs w:val="22"/>
              </w:rPr>
            </w:pPr>
            <w:r w:rsidRPr="008E281A">
              <w:rPr>
                <w:sz w:val="22"/>
              </w:rPr>
              <w:t>от 50% до 70% (включительно) от начальной максимальной цены    договора</w:t>
            </w:r>
          </w:p>
        </w:tc>
        <w:tc>
          <w:tcPr>
            <w:tcW w:w="3511"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10</w:t>
            </w:r>
          </w:p>
        </w:tc>
      </w:tr>
      <w:tr w:rsidR="008E281A" w:rsidRPr="008E281A" w:rsidTr="008E281A">
        <w:tc>
          <w:tcPr>
            <w:tcW w:w="6095" w:type="dxa"/>
          </w:tcPr>
          <w:p w:rsidR="008E281A" w:rsidRPr="008E281A" w:rsidRDefault="008E281A" w:rsidP="008E281A">
            <w:pPr>
              <w:spacing w:after="0"/>
              <w:jc w:val="left"/>
              <w:rPr>
                <w:sz w:val="22"/>
                <w:szCs w:val="22"/>
              </w:rPr>
            </w:pPr>
            <w:r w:rsidRPr="008E281A">
              <w:rPr>
                <w:sz w:val="22"/>
              </w:rPr>
              <w:t>менее 50% от начальной максимальной цены договора</w:t>
            </w:r>
          </w:p>
        </w:tc>
        <w:tc>
          <w:tcPr>
            <w:tcW w:w="3511" w:type="dxa"/>
          </w:tcPr>
          <w:p w:rsidR="008E281A" w:rsidRPr="008E281A" w:rsidRDefault="008E281A" w:rsidP="008E281A">
            <w:pPr>
              <w:autoSpaceDE w:val="0"/>
              <w:autoSpaceDN w:val="0"/>
              <w:adjustRightInd w:val="0"/>
              <w:spacing w:after="0"/>
              <w:jc w:val="center"/>
              <w:rPr>
                <w:sz w:val="22"/>
                <w:szCs w:val="22"/>
              </w:rPr>
            </w:pPr>
            <w:r w:rsidRPr="008E281A">
              <w:rPr>
                <w:sz w:val="22"/>
                <w:szCs w:val="22"/>
              </w:rPr>
              <w:t>5</w:t>
            </w:r>
          </w:p>
        </w:tc>
      </w:tr>
    </w:tbl>
    <w:p w:rsidR="008E281A" w:rsidRPr="008E281A" w:rsidRDefault="008E281A" w:rsidP="008E281A">
      <w:pPr>
        <w:autoSpaceDE w:val="0"/>
        <w:autoSpaceDN w:val="0"/>
        <w:adjustRightInd w:val="0"/>
        <w:spacing w:after="0"/>
        <w:rPr>
          <w:highlight w:val="yellow"/>
          <w:u w:val="single"/>
        </w:rPr>
      </w:pPr>
      <w:r w:rsidRPr="008E281A">
        <w:rPr>
          <w:sz w:val="22"/>
          <w:szCs w:val="22"/>
        </w:rPr>
        <w:t>-</w:t>
      </w:r>
      <w:r w:rsidRPr="008E281A">
        <w:t>показатель № 3 подтверждаются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8E281A" w:rsidRPr="008E281A" w:rsidRDefault="008E281A" w:rsidP="008E281A">
      <w:pPr>
        <w:autoSpaceDE w:val="0"/>
        <w:autoSpaceDN w:val="0"/>
        <w:adjustRightInd w:val="0"/>
        <w:spacing w:after="0"/>
        <w:ind w:firstLine="567"/>
      </w:pPr>
    </w:p>
    <w:p w:rsidR="008E281A" w:rsidRPr="008E281A" w:rsidRDefault="008E281A" w:rsidP="008E281A">
      <w:pPr>
        <w:spacing w:after="0"/>
        <w:jc w:val="left"/>
        <w:rPr>
          <w:b/>
          <w:color w:val="FF0000"/>
        </w:rPr>
      </w:pPr>
      <w:r w:rsidRPr="008E281A">
        <w:rPr>
          <w:b/>
        </w:rPr>
        <w:t xml:space="preserve">Показатель №4: </w:t>
      </w:r>
      <w:r w:rsidRPr="008E281A">
        <w:rPr>
          <w:b/>
          <w:sz w:val="22"/>
          <w:szCs w:val="22"/>
        </w:rPr>
        <w:t>Наличие у участника конкурса машин и механизмов</w:t>
      </w:r>
    </w:p>
    <w:p w:rsidR="008E281A" w:rsidRPr="008E281A" w:rsidRDefault="008E281A" w:rsidP="008E281A">
      <w:pPr>
        <w:spacing w:after="0"/>
      </w:pPr>
      <w:r w:rsidRPr="008E281A">
        <w:t>Перечень оборудования, технических средств, необходимых для надлежащего и своевременного исполнения контракта, который должен иметь участник конкурса:</w:t>
      </w:r>
    </w:p>
    <w:p w:rsidR="008E281A" w:rsidRPr="008E281A" w:rsidRDefault="008E281A" w:rsidP="008E281A">
      <w:pPr>
        <w:spacing w:after="0"/>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3788"/>
        <w:gridCol w:w="1418"/>
        <w:gridCol w:w="992"/>
        <w:gridCol w:w="1559"/>
        <w:gridCol w:w="1418"/>
      </w:tblGrid>
      <w:tr w:rsidR="008E281A" w:rsidRPr="008E281A" w:rsidTr="008E281A">
        <w:trPr>
          <w:trHeight w:val="581"/>
        </w:trPr>
        <w:tc>
          <w:tcPr>
            <w:tcW w:w="748" w:type="dxa"/>
            <w:shd w:val="clear" w:color="auto" w:fill="auto"/>
          </w:tcPr>
          <w:p w:rsidR="008E281A" w:rsidRPr="008E281A" w:rsidRDefault="008E281A" w:rsidP="008E281A">
            <w:pPr>
              <w:spacing w:after="0"/>
              <w:jc w:val="center"/>
              <w:rPr>
                <w:b/>
                <w:sz w:val="20"/>
                <w:szCs w:val="20"/>
              </w:rPr>
            </w:pPr>
            <w:r w:rsidRPr="008E281A">
              <w:rPr>
                <w:b/>
                <w:sz w:val="20"/>
                <w:szCs w:val="20"/>
              </w:rPr>
              <w:t>№</w:t>
            </w:r>
          </w:p>
          <w:p w:rsidR="008E281A" w:rsidRPr="008E281A" w:rsidRDefault="008E281A" w:rsidP="008E281A">
            <w:pPr>
              <w:spacing w:after="0"/>
              <w:jc w:val="center"/>
              <w:rPr>
                <w:b/>
                <w:sz w:val="20"/>
                <w:szCs w:val="20"/>
              </w:rPr>
            </w:pPr>
            <w:r w:rsidRPr="008E281A">
              <w:rPr>
                <w:b/>
                <w:sz w:val="20"/>
                <w:szCs w:val="20"/>
              </w:rPr>
              <w:t>п/п</w:t>
            </w:r>
          </w:p>
        </w:tc>
        <w:tc>
          <w:tcPr>
            <w:tcW w:w="3788" w:type="dxa"/>
            <w:shd w:val="clear" w:color="auto" w:fill="auto"/>
          </w:tcPr>
          <w:p w:rsidR="008E281A" w:rsidRPr="008E281A" w:rsidRDefault="008E281A" w:rsidP="008E281A">
            <w:pPr>
              <w:spacing w:after="0"/>
              <w:jc w:val="center"/>
              <w:rPr>
                <w:b/>
                <w:sz w:val="20"/>
                <w:szCs w:val="20"/>
              </w:rPr>
            </w:pPr>
            <w:r w:rsidRPr="008E281A">
              <w:rPr>
                <w:b/>
                <w:sz w:val="20"/>
                <w:szCs w:val="20"/>
              </w:rPr>
              <w:t>Наименование</w:t>
            </w:r>
          </w:p>
          <w:p w:rsidR="008E281A" w:rsidRPr="008E281A" w:rsidRDefault="008E281A" w:rsidP="008E281A">
            <w:pPr>
              <w:spacing w:after="0"/>
              <w:jc w:val="center"/>
              <w:rPr>
                <w:b/>
                <w:sz w:val="20"/>
                <w:szCs w:val="20"/>
              </w:rPr>
            </w:pPr>
            <w:r w:rsidRPr="008E281A">
              <w:rPr>
                <w:b/>
                <w:sz w:val="20"/>
                <w:szCs w:val="20"/>
              </w:rPr>
              <w:t>техники</w:t>
            </w:r>
          </w:p>
        </w:tc>
        <w:tc>
          <w:tcPr>
            <w:tcW w:w="1418" w:type="dxa"/>
            <w:shd w:val="clear" w:color="auto" w:fill="auto"/>
            <w:vAlign w:val="center"/>
          </w:tcPr>
          <w:p w:rsidR="008E281A" w:rsidRPr="008E281A" w:rsidRDefault="008E281A" w:rsidP="008E281A">
            <w:pPr>
              <w:spacing w:after="0"/>
              <w:jc w:val="center"/>
              <w:rPr>
                <w:b/>
                <w:sz w:val="20"/>
                <w:szCs w:val="20"/>
              </w:rPr>
            </w:pPr>
            <w:r w:rsidRPr="008E281A">
              <w:rPr>
                <w:b/>
                <w:sz w:val="20"/>
                <w:szCs w:val="20"/>
              </w:rPr>
              <w:t>Количество штук, менее</w:t>
            </w:r>
          </w:p>
        </w:tc>
        <w:tc>
          <w:tcPr>
            <w:tcW w:w="992" w:type="dxa"/>
            <w:shd w:val="clear" w:color="auto" w:fill="auto"/>
          </w:tcPr>
          <w:p w:rsidR="008E281A" w:rsidRPr="008E281A" w:rsidRDefault="008E281A" w:rsidP="008E281A">
            <w:pPr>
              <w:spacing w:after="0"/>
              <w:jc w:val="center"/>
              <w:rPr>
                <w:b/>
                <w:sz w:val="20"/>
                <w:szCs w:val="20"/>
              </w:rPr>
            </w:pPr>
            <w:r w:rsidRPr="008E281A">
              <w:rPr>
                <w:b/>
                <w:sz w:val="20"/>
                <w:szCs w:val="20"/>
              </w:rPr>
              <w:t>Кол-во баллов</w:t>
            </w:r>
          </w:p>
        </w:tc>
        <w:tc>
          <w:tcPr>
            <w:tcW w:w="1559" w:type="dxa"/>
          </w:tcPr>
          <w:p w:rsidR="008E281A" w:rsidRPr="008E281A" w:rsidRDefault="008E281A" w:rsidP="008E281A">
            <w:pPr>
              <w:spacing w:after="0"/>
              <w:jc w:val="center"/>
              <w:rPr>
                <w:b/>
                <w:sz w:val="20"/>
                <w:szCs w:val="20"/>
              </w:rPr>
            </w:pPr>
            <w:r w:rsidRPr="008E281A">
              <w:rPr>
                <w:b/>
                <w:sz w:val="20"/>
                <w:szCs w:val="20"/>
              </w:rPr>
              <w:t xml:space="preserve">Количество </w:t>
            </w:r>
            <w:proofErr w:type="gramStart"/>
            <w:r w:rsidRPr="008E281A">
              <w:rPr>
                <w:b/>
                <w:sz w:val="20"/>
                <w:szCs w:val="20"/>
              </w:rPr>
              <w:t>штук,  и</w:t>
            </w:r>
            <w:proofErr w:type="gramEnd"/>
            <w:r w:rsidRPr="008E281A">
              <w:rPr>
                <w:b/>
                <w:sz w:val="20"/>
                <w:szCs w:val="20"/>
              </w:rPr>
              <w:t xml:space="preserve"> более</w:t>
            </w:r>
          </w:p>
        </w:tc>
        <w:tc>
          <w:tcPr>
            <w:tcW w:w="1418" w:type="dxa"/>
          </w:tcPr>
          <w:p w:rsidR="008E281A" w:rsidRPr="008E281A" w:rsidRDefault="008E281A" w:rsidP="008E281A">
            <w:pPr>
              <w:spacing w:after="0"/>
              <w:jc w:val="center"/>
              <w:rPr>
                <w:b/>
                <w:sz w:val="20"/>
                <w:szCs w:val="20"/>
              </w:rPr>
            </w:pPr>
            <w:r w:rsidRPr="008E281A">
              <w:rPr>
                <w:b/>
                <w:sz w:val="20"/>
                <w:szCs w:val="20"/>
              </w:rPr>
              <w:t>Кол-во баллов</w:t>
            </w:r>
          </w:p>
        </w:tc>
      </w:tr>
      <w:tr w:rsidR="008E281A" w:rsidRPr="008E281A" w:rsidTr="008E281A">
        <w:trPr>
          <w:trHeight w:val="302"/>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1</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Бульдозер</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4</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4</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11"/>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Экскаватор</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9</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9</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11"/>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3</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Автогрейдер</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11"/>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4</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Каток</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11"/>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5</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Автомобильный кран</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5</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5</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11"/>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6</w:t>
            </w:r>
          </w:p>
        </w:tc>
        <w:tc>
          <w:tcPr>
            <w:tcW w:w="3788" w:type="dxa"/>
            <w:shd w:val="clear" w:color="auto" w:fill="auto"/>
            <w:vAlign w:val="center"/>
          </w:tcPr>
          <w:p w:rsidR="008E281A" w:rsidRPr="008E281A" w:rsidRDefault="008E281A" w:rsidP="008E281A">
            <w:pPr>
              <w:spacing w:after="0"/>
              <w:jc w:val="left"/>
              <w:rPr>
                <w:sz w:val="22"/>
                <w:szCs w:val="22"/>
              </w:rPr>
            </w:pPr>
            <w:proofErr w:type="spellStart"/>
            <w:r w:rsidRPr="008E281A">
              <w:rPr>
                <w:sz w:val="22"/>
                <w:szCs w:val="22"/>
              </w:rPr>
              <w:t>Асфальтоукладчик</w:t>
            </w:r>
            <w:proofErr w:type="spellEnd"/>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02"/>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7</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Автосамосвал</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12</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12</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02"/>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8</w:t>
            </w:r>
          </w:p>
        </w:tc>
        <w:tc>
          <w:tcPr>
            <w:tcW w:w="3788" w:type="dxa"/>
            <w:shd w:val="clear" w:color="auto" w:fill="auto"/>
            <w:vAlign w:val="center"/>
          </w:tcPr>
          <w:p w:rsidR="008E281A" w:rsidRPr="008E281A" w:rsidRDefault="008E281A" w:rsidP="008E281A">
            <w:pPr>
              <w:spacing w:after="0"/>
              <w:jc w:val="left"/>
              <w:rPr>
                <w:sz w:val="22"/>
                <w:szCs w:val="22"/>
              </w:rPr>
            </w:pPr>
            <w:proofErr w:type="spellStart"/>
            <w:r w:rsidRPr="008E281A">
              <w:rPr>
                <w:sz w:val="22"/>
                <w:szCs w:val="22"/>
              </w:rPr>
              <w:t>Автобетоносмеситель</w:t>
            </w:r>
            <w:proofErr w:type="spellEnd"/>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1</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2</w:t>
            </w:r>
          </w:p>
        </w:tc>
        <w:tc>
          <w:tcPr>
            <w:tcW w:w="1418" w:type="dxa"/>
          </w:tcPr>
          <w:p w:rsidR="008E281A" w:rsidRPr="008E281A" w:rsidRDefault="008E281A" w:rsidP="008E281A">
            <w:pPr>
              <w:spacing w:after="0"/>
              <w:jc w:val="center"/>
              <w:rPr>
                <w:sz w:val="22"/>
                <w:szCs w:val="22"/>
              </w:rPr>
            </w:pPr>
            <w:r w:rsidRPr="008E281A">
              <w:rPr>
                <w:sz w:val="22"/>
                <w:szCs w:val="22"/>
              </w:rPr>
              <w:t>2</w:t>
            </w:r>
          </w:p>
        </w:tc>
      </w:tr>
      <w:tr w:rsidR="008E281A" w:rsidRPr="008E281A" w:rsidTr="008E281A">
        <w:trPr>
          <w:trHeight w:val="302"/>
        </w:trPr>
        <w:tc>
          <w:tcPr>
            <w:tcW w:w="748" w:type="dxa"/>
            <w:shd w:val="clear" w:color="auto" w:fill="auto"/>
          </w:tcPr>
          <w:p w:rsidR="008E281A" w:rsidRPr="008E281A" w:rsidRDefault="008E281A" w:rsidP="008E281A">
            <w:pPr>
              <w:spacing w:after="0"/>
              <w:jc w:val="center"/>
              <w:rPr>
                <w:sz w:val="22"/>
                <w:szCs w:val="22"/>
              </w:rPr>
            </w:pPr>
            <w:r w:rsidRPr="008E281A">
              <w:rPr>
                <w:sz w:val="22"/>
                <w:szCs w:val="22"/>
              </w:rPr>
              <w:t>9</w:t>
            </w:r>
          </w:p>
        </w:tc>
        <w:tc>
          <w:tcPr>
            <w:tcW w:w="3788" w:type="dxa"/>
            <w:shd w:val="clear" w:color="auto" w:fill="auto"/>
            <w:vAlign w:val="center"/>
          </w:tcPr>
          <w:p w:rsidR="008E281A" w:rsidRPr="008E281A" w:rsidRDefault="008E281A" w:rsidP="008E281A">
            <w:pPr>
              <w:spacing w:after="0"/>
              <w:jc w:val="left"/>
              <w:rPr>
                <w:sz w:val="22"/>
                <w:szCs w:val="22"/>
              </w:rPr>
            </w:pPr>
            <w:r w:rsidRPr="008E281A">
              <w:rPr>
                <w:sz w:val="22"/>
                <w:szCs w:val="22"/>
              </w:rPr>
              <w:t>Автогидроподъемник (автовышка)</w:t>
            </w:r>
          </w:p>
        </w:tc>
        <w:tc>
          <w:tcPr>
            <w:tcW w:w="1418" w:type="dxa"/>
            <w:shd w:val="clear" w:color="auto" w:fill="auto"/>
          </w:tcPr>
          <w:p w:rsidR="008E281A" w:rsidRPr="008E281A" w:rsidRDefault="008E281A" w:rsidP="008E281A">
            <w:pPr>
              <w:spacing w:after="0"/>
              <w:jc w:val="center"/>
              <w:rPr>
                <w:sz w:val="22"/>
                <w:szCs w:val="22"/>
              </w:rPr>
            </w:pPr>
            <w:r w:rsidRPr="008E281A">
              <w:rPr>
                <w:sz w:val="22"/>
                <w:szCs w:val="22"/>
              </w:rPr>
              <w:t>1</w:t>
            </w:r>
          </w:p>
        </w:tc>
        <w:tc>
          <w:tcPr>
            <w:tcW w:w="992" w:type="dxa"/>
            <w:shd w:val="clear" w:color="auto" w:fill="auto"/>
          </w:tcPr>
          <w:p w:rsidR="008E281A" w:rsidRPr="008E281A" w:rsidRDefault="008E281A" w:rsidP="008E281A">
            <w:pPr>
              <w:spacing w:after="0"/>
              <w:jc w:val="center"/>
              <w:rPr>
                <w:i/>
                <w:sz w:val="22"/>
                <w:szCs w:val="22"/>
              </w:rPr>
            </w:pPr>
            <w:r w:rsidRPr="008E281A">
              <w:rPr>
                <w:i/>
                <w:sz w:val="22"/>
                <w:szCs w:val="22"/>
              </w:rPr>
              <w:t>0</w:t>
            </w:r>
          </w:p>
        </w:tc>
        <w:tc>
          <w:tcPr>
            <w:tcW w:w="1559" w:type="dxa"/>
            <w:shd w:val="clear" w:color="auto" w:fill="auto"/>
          </w:tcPr>
          <w:p w:rsidR="008E281A" w:rsidRPr="008E281A" w:rsidRDefault="008E281A" w:rsidP="008E281A">
            <w:pPr>
              <w:spacing w:after="0"/>
              <w:jc w:val="center"/>
              <w:rPr>
                <w:sz w:val="22"/>
                <w:szCs w:val="22"/>
              </w:rPr>
            </w:pPr>
            <w:r w:rsidRPr="008E281A">
              <w:rPr>
                <w:sz w:val="22"/>
                <w:szCs w:val="22"/>
              </w:rPr>
              <w:t>1</w:t>
            </w:r>
          </w:p>
        </w:tc>
        <w:tc>
          <w:tcPr>
            <w:tcW w:w="1418" w:type="dxa"/>
          </w:tcPr>
          <w:p w:rsidR="008E281A" w:rsidRPr="008E281A" w:rsidRDefault="008E281A" w:rsidP="008E281A">
            <w:pPr>
              <w:spacing w:after="0"/>
              <w:jc w:val="center"/>
              <w:rPr>
                <w:sz w:val="22"/>
                <w:szCs w:val="22"/>
              </w:rPr>
            </w:pPr>
            <w:r w:rsidRPr="008E281A">
              <w:rPr>
                <w:sz w:val="22"/>
                <w:szCs w:val="22"/>
              </w:rPr>
              <w:t>2</w:t>
            </w:r>
          </w:p>
        </w:tc>
      </w:tr>
    </w:tbl>
    <w:p w:rsidR="008E281A" w:rsidRPr="008E281A" w:rsidRDefault="008E281A" w:rsidP="008E281A">
      <w:pPr>
        <w:spacing w:after="0"/>
      </w:pPr>
      <w:r w:rsidRPr="008E281A">
        <w:rPr>
          <w:b/>
          <w:sz w:val="22"/>
          <w:szCs w:val="22"/>
        </w:rPr>
        <w:t xml:space="preserve">- </w:t>
      </w:r>
      <w:r w:rsidRPr="008E281A">
        <w:t>показатель № 4</w:t>
      </w:r>
      <w:r w:rsidRPr="008E281A">
        <w:rPr>
          <w:b/>
        </w:rPr>
        <w:t xml:space="preserve"> </w:t>
      </w:r>
      <w:bookmarkStart w:id="38" w:name="_Hlk522194991"/>
      <w:r w:rsidRPr="008E281A">
        <w:t xml:space="preserve">подтверждается копиями паспортов самоходных машин и копиями свидетельствами о регистрации транспортных средств </w:t>
      </w:r>
    </w:p>
    <w:p w:rsidR="008E281A" w:rsidRPr="008E281A" w:rsidRDefault="008E281A" w:rsidP="008E281A">
      <w:pPr>
        <w:spacing w:after="0"/>
        <w:ind w:firstLine="567"/>
        <w:rPr>
          <w:b/>
          <w:lang w:val="x-none" w:eastAsia="x-none"/>
        </w:rPr>
      </w:pPr>
    </w:p>
    <w:bookmarkEnd w:id="38"/>
    <w:p w:rsidR="008E281A" w:rsidRPr="008E281A" w:rsidRDefault="008E281A" w:rsidP="008E281A">
      <w:pPr>
        <w:spacing w:after="0"/>
        <w:rPr>
          <w:b/>
        </w:rPr>
      </w:pPr>
      <w:r w:rsidRPr="008E281A">
        <w:rPr>
          <w:b/>
        </w:rPr>
        <w:t>Показатель № 5: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w:t>
      </w:r>
    </w:p>
    <w:p w:rsidR="008E281A" w:rsidRPr="008E281A" w:rsidRDefault="008E281A" w:rsidP="008E281A">
      <w:pPr>
        <w:spacing w:after="0"/>
      </w:pPr>
      <w:r w:rsidRPr="008E281A">
        <w:t>Количество баллов: «отсутствуют» – 12 баллов, «наличие» - 0 баллов.</w:t>
      </w:r>
    </w:p>
    <w:p w:rsidR="008E281A" w:rsidRPr="008E281A" w:rsidRDefault="008E281A" w:rsidP="008E281A">
      <w:pPr>
        <w:spacing w:after="0"/>
        <w:rPr>
          <w:sz w:val="22"/>
          <w:szCs w:val="22"/>
        </w:rPr>
      </w:pPr>
    </w:p>
    <w:p w:rsidR="008E281A" w:rsidRPr="008E281A" w:rsidRDefault="008E281A" w:rsidP="008E281A">
      <w:pPr>
        <w:autoSpaceDE w:val="0"/>
        <w:autoSpaceDN w:val="0"/>
        <w:adjustRightInd w:val="0"/>
        <w:spacing w:after="0"/>
      </w:pPr>
      <w:r w:rsidRPr="008E281A">
        <w:t>*Сопоставимыми (аналогичными) по характеру видами работ являются работы по строительству, реконструкции, капитальному ремонту в период с 2014 г. по 2018 г. включительно: дорожной инфраструктуры, сетей ливневой канализации, хозяйственно – бытовой канализации, наружного освещения, сетей электроснабжения, сетей связи.</w:t>
      </w:r>
    </w:p>
    <w:p w:rsidR="008E281A" w:rsidRPr="008E281A" w:rsidRDefault="008E281A" w:rsidP="008E281A">
      <w:pPr>
        <w:spacing w:after="0"/>
        <w:ind w:firstLine="567"/>
        <w:rPr>
          <w:szCs w:val="20"/>
          <w:lang w:eastAsia="x-none"/>
        </w:rPr>
      </w:pPr>
    </w:p>
    <w:p w:rsidR="008E281A" w:rsidRPr="008E281A" w:rsidRDefault="008E281A" w:rsidP="008E281A">
      <w:pPr>
        <w:autoSpaceDE w:val="0"/>
        <w:autoSpaceDN w:val="0"/>
        <w:adjustRightInd w:val="0"/>
        <w:ind w:firstLine="567"/>
        <w:rPr>
          <w:bCs/>
          <w:i/>
          <w:color w:val="000000"/>
          <w:highlight w:val="yellow"/>
        </w:rPr>
      </w:pPr>
      <w:r w:rsidRPr="008E281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B65EF4"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B65EF4"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B65EF4"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lastRenderedPageBreak/>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8E281A" w:rsidRPr="008E281A" w:rsidRDefault="008E281A" w:rsidP="008E281A">
      <w:pPr>
        <w:autoSpaceDE w:val="0"/>
        <w:autoSpaceDN w:val="0"/>
        <w:adjustRightInd w:val="0"/>
        <w:rPr>
          <w:b/>
          <w:bCs/>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8E281A" w:rsidRDefault="008E281A" w:rsidP="00DD1EDF">
      <w:pPr>
        <w:spacing w:after="0"/>
        <w:jc w:val="left"/>
        <w:rPr>
          <w:b/>
          <w:bCs/>
          <w:color w:val="000000"/>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E67B47" w:rsidRDefault="00E67B47"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9"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9"/>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Pr="00A9547A" w:rsidRDefault="00CB0BDC" w:rsidP="00CB0BDC">
      <w:pPr>
        <w:jc w:val="center"/>
        <w:rPr>
          <w:b/>
        </w:rPr>
      </w:pPr>
      <w:r w:rsidRPr="00A9547A">
        <w:rPr>
          <w:b/>
        </w:rPr>
        <w:t>О КВАЛИФИКАЦИИ УЧАСТНИКА КОНКУРСА</w:t>
      </w:r>
    </w:p>
    <w:p w:rsidR="00455151" w:rsidRPr="00A9547A" w:rsidRDefault="00C82975" w:rsidP="00455151">
      <w:pPr>
        <w:tabs>
          <w:tab w:val="left" w:pos="708"/>
        </w:tabs>
        <w:rPr>
          <w:b/>
        </w:rPr>
      </w:pPr>
      <w:r>
        <w:rPr>
          <w:b/>
        </w:rPr>
        <w:tab/>
      </w:r>
      <w:r w:rsidR="00455151" w:rsidRPr="00A9547A">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w:t>
      </w:r>
      <w:r w:rsidR="00A66AEB">
        <w:rPr>
          <w:b/>
        </w:rPr>
        <w:t xml:space="preserve"> (техническую часть)</w:t>
      </w:r>
      <w:r w:rsidR="00455151" w:rsidRPr="00A9547A">
        <w:rPr>
          <w:b/>
        </w:rPr>
        <w:t>).</w:t>
      </w:r>
    </w:p>
    <w:p w:rsidR="00F34AF9" w:rsidRDefault="00C82975" w:rsidP="004C22A9">
      <w:pPr>
        <w:tabs>
          <w:tab w:val="left" w:pos="708"/>
        </w:tabs>
        <w:rPr>
          <w:b/>
        </w:rPr>
      </w:pPr>
      <w:r>
        <w:rPr>
          <w:b/>
        </w:rPr>
        <w:tab/>
      </w:r>
    </w:p>
    <w:p w:rsidR="00F34AF9" w:rsidRPr="00F34AF9" w:rsidRDefault="00B65EF4" w:rsidP="00F34AF9">
      <w:pPr>
        <w:tabs>
          <w:tab w:val="left" w:pos="708"/>
        </w:tabs>
        <w:rPr>
          <w:b/>
        </w:rPr>
      </w:pPr>
      <w:r>
        <w:rPr>
          <w:b/>
        </w:rPr>
        <w:t xml:space="preserve">           </w:t>
      </w:r>
      <w:r w:rsidR="00F34AF9" w:rsidRPr="00F34AF9">
        <w:rPr>
          <w:b/>
        </w:rPr>
        <w:t>2. Сведения о квалификации участника конкурса (сведения представляются в виде справки с информацией по каждому параметру и подтверждаются документально).</w:t>
      </w:r>
    </w:p>
    <w:p w:rsidR="00B65EF4" w:rsidRPr="00B65EF4" w:rsidRDefault="00B65EF4" w:rsidP="00B65EF4">
      <w:pPr>
        <w:ind w:firstLine="567"/>
        <w:rPr>
          <w:b/>
        </w:rPr>
      </w:pPr>
      <w:r>
        <w:t xml:space="preserve"> </w:t>
      </w:r>
      <w:r w:rsidR="00F34AF9" w:rsidRPr="00B65EF4">
        <w:t>2.1.</w:t>
      </w:r>
      <w:r w:rsidR="00F34AF9" w:rsidRPr="00B65EF4">
        <w:rPr>
          <w:b/>
        </w:rPr>
        <w:t xml:space="preserve">  </w:t>
      </w:r>
      <w:r w:rsidRPr="00B65EF4">
        <w:t>Общее количество исполненных договоров на выполнение работ сопоставимого* характера в период с 2014 г. по 2018 г. включительно по строительству, реконструкции, капитальному ремонту объектов капитального строительства</w:t>
      </w:r>
      <w:r>
        <w:t>:</w:t>
      </w:r>
      <w:r w:rsidRPr="00B65EF4">
        <w:rPr>
          <w:b/>
        </w:rPr>
        <w:t xml:space="preserve">  </w:t>
      </w:r>
    </w:p>
    <w:p w:rsidR="00B65EF4" w:rsidRPr="00B65EF4" w:rsidRDefault="00B65EF4" w:rsidP="00B65EF4">
      <w:r w:rsidRPr="00B65EF4">
        <w:t>Количество договоров -  __________ шт.</w:t>
      </w:r>
    </w:p>
    <w:p w:rsidR="00B65EF4" w:rsidRPr="00B65EF4" w:rsidRDefault="00B65EF4" w:rsidP="00B65EF4">
      <w:pPr>
        <w:rPr>
          <w:i/>
          <w:highlight w:val="yellow"/>
        </w:rPr>
      </w:pPr>
      <w:r w:rsidRPr="00B65EF4">
        <w:rPr>
          <w:i/>
        </w:rPr>
        <w:t>(подтверждается копиями исполненных договоров (государственных контрактов) и копиями документов, подтверждающих их исполнение (копии разрешений на ввод объекта капитального строительства, копии актов по форме КС-11 и/или КС-14, копии актов сдачи-приемки работ, копии справок о стоимости выполненных работ).</w:t>
      </w:r>
    </w:p>
    <w:p w:rsidR="00B65EF4" w:rsidRPr="00B65EF4" w:rsidRDefault="00062D0C" w:rsidP="00062D0C">
      <w:r>
        <w:t xml:space="preserve">            </w:t>
      </w:r>
      <w:r w:rsidR="00B65EF4" w:rsidRPr="00B65EF4">
        <w:t>2.2. Наличие у участника закупки квалифициров</w:t>
      </w:r>
      <w:r>
        <w:t xml:space="preserve">анных работников строительных и </w:t>
      </w:r>
      <w:r w:rsidR="00B65EF4" w:rsidRPr="00B65EF4">
        <w:t>инженерных специальностей для выполнения работ по предмету конкурса, имеющих опыт практической деятельности:</w:t>
      </w:r>
    </w:p>
    <w:p w:rsidR="00B65EF4" w:rsidRDefault="00B65EF4" w:rsidP="00062D0C">
      <w:r w:rsidRPr="00B65EF4">
        <w:t>Количество персонала_________ человек.</w:t>
      </w:r>
    </w:p>
    <w:p w:rsidR="00062D0C" w:rsidRPr="00062D0C" w:rsidRDefault="00062D0C" w:rsidP="00062D0C">
      <w:pPr>
        <w:rPr>
          <w:i/>
        </w:rPr>
      </w:pPr>
      <w:r w:rsidRPr="00062D0C">
        <w:rPr>
          <w:i/>
        </w:rPr>
        <w:t>(подтверждается копиями трудовых книжек)</w:t>
      </w:r>
    </w:p>
    <w:p w:rsidR="00B65EF4" w:rsidRPr="00B65EF4" w:rsidRDefault="00062D0C" w:rsidP="00062D0C">
      <w:r>
        <w:t xml:space="preserve">            </w:t>
      </w:r>
      <w:r w:rsidR="00B65EF4" w:rsidRPr="00B65EF4">
        <w:t xml:space="preserve">2.3. </w:t>
      </w:r>
      <w:r w:rsidR="00F34AF9" w:rsidRPr="00B65EF4">
        <w:t xml:space="preserve">Максимальная сумма исполненного </w:t>
      </w:r>
      <w:r w:rsidR="00B65EF4" w:rsidRPr="00B65EF4">
        <w:t xml:space="preserve">договора </w:t>
      </w:r>
      <w:r w:rsidR="00F34AF9" w:rsidRPr="00B65EF4">
        <w:t>в 20</w:t>
      </w:r>
      <w:r w:rsidR="008F3CD1" w:rsidRPr="00B65EF4">
        <w:t>1</w:t>
      </w:r>
      <w:r w:rsidR="00B65EF4" w:rsidRPr="00B65EF4">
        <w:t>4</w:t>
      </w:r>
      <w:r w:rsidR="00F34AF9" w:rsidRPr="00B65EF4">
        <w:t>-2018 гг.</w:t>
      </w:r>
      <w:r w:rsidR="00B65EF4" w:rsidRPr="00B65EF4">
        <w:t>, сопоставимого* по характеру выполняемых работ с предметом конкурса</w:t>
      </w:r>
      <w:r w:rsidR="00F34AF9" w:rsidRPr="00B65EF4">
        <w:t xml:space="preserve"> по строительству, реконструкции, капитальному ремонту объекта капитального строительства</w:t>
      </w:r>
      <w:r w:rsidR="00B65EF4" w:rsidRPr="00B65EF4">
        <w:t>: ____________________ руб., что составляет ____% от начальной (максимальной цены) договора.</w:t>
      </w:r>
    </w:p>
    <w:p w:rsidR="00F34AF9" w:rsidRDefault="00062D0C" w:rsidP="00062D0C">
      <w:pPr>
        <w:spacing w:after="0"/>
        <w:rPr>
          <w:i/>
          <w:szCs w:val="20"/>
        </w:rPr>
      </w:pPr>
      <w:r>
        <w:rPr>
          <w:i/>
          <w:szCs w:val="20"/>
        </w:rPr>
        <w:t>(</w:t>
      </w:r>
      <w:r w:rsidR="00F34AF9" w:rsidRPr="00B65EF4">
        <w:rPr>
          <w:i/>
          <w:szCs w:val="20"/>
        </w:rPr>
        <w:t>подтверждается копией исполненного договора (государственного контракта)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B65EF4" w:rsidRPr="00B65EF4" w:rsidRDefault="00062D0C" w:rsidP="00B65EF4">
      <w:pPr>
        <w:spacing w:after="0"/>
        <w:ind w:firstLine="567"/>
        <w:rPr>
          <w:szCs w:val="20"/>
        </w:rPr>
      </w:pPr>
      <w:r>
        <w:rPr>
          <w:szCs w:val="20"/>
        </w:rPr>
        <w:t xml:space="preserve">   </w:t>
      </w:r>
      <w:r w:rsidR="00B65EF4" w:rsidRPr="00B65EF4">
        <w:rPr>
          <w:szCs w:val="20"/>
        </w:rPr>
        <w:t>2.4. Наличие машин и механизмов</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3788"/>
        <w:gridCol w:w="1418"/>
        <w:gridCol w:w="992"/>
        <w:gridCol w:w="1559"/>
        <w:gridCol w:w="1418"/>
      </w:tblGrid>
      <w:tr w:rsidR="00B65EF4" w:rsidRPr="00B65EF4" w:rsidTr="00B65EF4">
        <w:trPr>
          <w:trHeight w:val="581"/>
        </w:trPr>
        <w:tc>
          <w:tcPr>
            <w:tcW w:w="748" w:type="dxa"/>
            <w:shd w:val="clear" w:color="auto" w:fill="auto"/>
          </w:tcPr>
          <w:p w:rsidR="00B65EF4" w:rsidRPr="00B65EF4" w:rsidRDefault="00B65EF4" w:rsidP="00B65EF4">
            <w:pPr>
              <w:spacing w:after="0"/>
              <w:jc w:val="center"/>
              <w:rPr>
                <w:b/>
                <w:sz w:val="20"/>
                <w:szCs w:val="20"/>
              </w:rPr>
            </w:pPr>
            <w:r w:rsidRPr="00B65EF4">
              <w:rPr>
                <w:b/>
                <w:sz w:val="20"/>
                <w:szCs w:val="20"/>
              </w:rPr>
              <w:t>№</w:t>
            </w:r>
          </w:p>
          <w:p w:rsidR="00B65EF4" w:rsidRPr="00B65EF4" w:rsidRDefault="00B65EF4" w:rsidP="00B65EF4">
            <w:pPr>
              <w:spacing w:after="0"/>
              <w:jc w:val="center"/>
              <w:rPr>
                <w:b/>
                <w:sz w:val="20"/>
                <w:szCs w:val="20"/>
              </w:rPr>
            </w:pPr>
            <w:r w:rsidRPr="00B65EF4">
              <w:rPr>
                <w:b/>
                <w:sz w:val="20"/>
                <w:szCs w:val="20"/>
              </w:rPr>
              <w:t>п/п</w:t>
            </w:r>
          </w:p>
        </w:tc>
        <w:tc>
          <w:tcPr>
            <w:tcW w:w="3788" w:type="dxa"/>
            <w:shd w:val="clear" w:color="auto" w:fill="auto"/>
          </w:tcPr>
          <w:p w:rsidR="00B65EF4" w:rsidRPr="00B65EF4" w:rsidRDefault="00B65EF4" w:rsidP="00B65EF4">
            <w:pPr>
              <w:spacing w:after="0"/>
              <w:jc w:val="center"/>
              <w:rPr>
                <w:b/>
                <w:sz w:val="20"/>
                <w:szCs w:val="20"/>
              </w:rPr>
            </w:pPr>
            <w:r w:rsidRPr="00B65EF4">
              <w:rPr>
                <w:b/>
                <w:sz w:val="20"/>
                <w:szCs w:val="20"/>
              </w:rPr>
              <w:t>Наименование</w:t>
            </w:r>
          </w:p>
          <w:p w:rsidR="00B65EF4" w:rsidRPr="00B65EF4" w:rsidRDefault="00B65EF4" w:rsidP="00B65EF4">
            <w:pPr>
              <w:spacing w:after="0"/>
              <w:jc w:val="center"/>
              <w:rPr>
                <w:b/>
                <w:sz w:val="20"/>
                <w:szCs w:val="20"/>
              </w:rPr>
            </w:pPr>
            <w:r w:rsidRPr="00B65EF4">
              <w:rPr>
                <w:b/>
                <w:sz w:val="20"/>
                <w:szCs w:val="20"/>
              </w:rPr>
              <w:t>техники</w:t>
            </w:r>
          </w:p>
        </w:tc>
        <w:tc>
          <w:tcPr>
            <w:tcW w:w="1418" w:type="dxa"/>
            <w:shd w:val="clear" w:color="auto" w:fill="auto"/>
            <w:vAlign w:val="center"/>
          </w:tcPr>
          <w:p w:rsidR="00B65EF4" w:rsidRPr="00B65EF4" w:rsidRDefault="00B65EF4" w:rsidP="00B65EF4">
            <w:pPr>
              <w:spacing w:after="0"/>
              <w:jc w:val="center"/>
              <w:rPr>
                <w:b/>
                <w:sz w:val="20"/>
                <w:szCs w:val="20"/>
              </w:rPr>
            </w:pPr>
            <w:r w:rsidRPr="00B65EF4">
              <w:rPr>
                <w:b/>
                <w:sz w:val="20"/>
                <w:szCs w:val="20"/>
              </w:rPr>
              <w:t>Количество штук, менее</w:t>
            </w:r>
          </w:p>
        </w:tc>
        <w:tc>
          <w:tcPr>
            <w:tcW w:w="992" w:type="dxa"/>
            <w:shd w:val="clear" w:color="auto" w:fill="auto"/>
          </w:tcPr>
          <w:p w:rsidR="00B65EF4" w:rsidRPr="00B65EF4" w:rsidRDefault="00B65EF4" w:rsidP="00B65EF4">
            <w:pPr>
              <w:spacing w:after="0"/>
              <w:jc w:val="center"/>
              <w:rPr>
                <w:b/>
                <w:sz w:val="20"/>
                <w:szCs w:val="20"/>
              </w:rPr>
            </w:pPr>
            <w:r w:rsidRPr="00B65EF4">
              <w:rPr>
                <w:b/>
                <w:sz w:val="20"/>
                <w:szCs w:val="20"/>
              </w:rPr>
              <w:t>Кол-во баллов</w:t>
            </w:r>
          </w:p>
        </w:tc>
        <w:tc>
          <w:tcPr>
            <w:tcW w:w="1559" w:type="dxa"/>
          </w:tcPr>
          <w:p w:rsidR="00B65EF4" w:rsidRPr="00B65EF4" w:rsidRDefault="00B65EF4" w:rsidP="00B65EF4">
            <w:pPr>
              <w:spacing w:after="0"/>
              <w:jc w:val="center"/>
              <w:rPr>
                <w:b/>
                <w:sz w:val="20"/>
                <w:szCs w:val="20"/>
              </w:rPr>
            </w:pPr>
            <w:r w:rsidRPr="00B65EF4">
              <w:rPr>
                <w:b/>
                <w:sz w:val="20"/>
                <w:szCs w:val="20"/>
              </w:rPr>
              <w:t xml:space="preserve">Количество </w:t>
            </w:r>
            <w:proofErr w:type="gramStart"/>
            <w:r w:rsidRPr="00B65EF4">
              <w:rPr>
                <w:b/>
                <w:sz w:val="20"/>
                <w:szCs w:val="20"/>
              </w:rPr>
              <w:t>штук,  и</w:t>
            </w:r>
            <w:proofErr w:type="gramEnd"/>
            <w:r w:rsidRPr="00B65EF4">
              <w:rPr>
                <w:b/>
                <w:sz w:val="20"/>
                <w:szCs w:val="20"/>
              </w:rPr>
              <w:t xml:space="preserve"> более</w:t>
            </w:r>
          </w:p>
        </w:tc>
        <w:tc>
          <w:tcPr>
            <w:tcW w:w="1418" w:type="dxa"/>
          </w:tcPr>
          <w:p w:rsidR="00B65EF4" w:rsidRPr="00B65EF4" w:rsidRDefault="00B65EF4" w:rsidP="00B65EF4">
            <w:pPr>
              <w:spacing w:after="0"/>
              <w:jc w:val="center"/>
              <w:rPr>
                <w:b/>
                <w:sz w:val="20"/>
                <w:szCs w:val="20"/>
              </w:rPr>
            </w:pPr>
            <w:r w:rsidRPr="00B65EF4">
              <w:rPr>
                <w:b/>
                <w:sz w:val="20"/>
                <w:szCs w:val="20"/>
              </w:rPr>
              <w:t>Кол-во баллов</w:t>
            </w:r>
          </w:p>
        </w:tc>
      </w:tr>
      <w:tr w:rsidR="00B65EF4" w:rsidRPr="00B65EF4" w:rsidTr="00B65EF4">
        <w:trPr>
          <w:trHeight w:val="302"/>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1</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Бульдозер</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4</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4</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11"/>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Экскаватор</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9</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9</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11"/>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3</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Автогрейдер</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11"/>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4</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Каток</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11"/>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5</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Автомобильный кран</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5</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5</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11"/>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6</w:t>
            </w:r>
          </w:p>
        </w:tc>
        <w:tc>
          <w:tcPr>
            <w:tcW w:w="3788" w:type="dxa"/>
            <w:shd w:val="clear" w:color="auto" w:fill="auto"/>
            <w:vAlign w:val="center"/>
          </w:tcPr>
          <w:p w:rsidR="00B65EF4" w:rsidRPr="00B65EF4" w:rsidRDefault="00B65EF4" w:rsidP="00B65EF4">
            <w:pPr>
              <w:spacing w:after="0"/>
              <w:jc w:val="left"/>
              <w:rPr>
                <w:sz w:val="22"/>
                <w:szCs w:val="22"/>
              </w:rPr>
            </w:pPr>
            <w:proofErr w:type="spellStart"/>
            <w:r w:rsidRPr="00B65EF4">
              <w:rPr>
                <w:sz w:val="22"/>
                <w:szCs w:val="22"/>
              </w:rPr>
              <w:t>Асфальтоукладчик</w:t>
            </w:r>
            <w:proofErr w:type="spellEnd"/>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02"/>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7</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Автосамосвал</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12</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12</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02"/>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8</w:t>
            </w:r>
          </w:p>
        </w:tc>
        <w:tc>
          <w:tcPr>
            <w:tcW w:w="3788" w:type="dxa"/>
            <w:shd w:val="clear" w:color="auto" w:fill="auto"/>
            <w:vAlign w:val="center"/>
          </w:tcPr>
          <w:p w:rsidR="00B65EF4" w:rsidRPr="00B65EF4" w:rsidRDefault="00B65EF4" w:rsidP="00B65EF4">
            <w:pPr>
              <w:spacing w:after="0"/>
              <w:jc w:val="left"/>
              <w:rPr>
                <w:sz w:val="22"/>
                <w:szCs w:val="22"/>
              </w:rPr>
            </w:pPr>
            <w:proofErr w:type="spellStart"/>
            <w:r w:rsidRPr="00B65EF4">
              <w:rPr>
                <w:sz w:val="22"/>
                <w:szCs w:val="22"/>
              </w:rPr>
              <w:t>Автобетоносмеситель</w:t>
            </w:r>
            <w:proofErr w:type="spellEnd"/>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1</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2</w:t>
            </w:r>
          </w:p>
        </w:tc>
        <w:tc>
          <w:tcPr>
            <w:tcW w:w="1418" w:type="dxa"/>
          </w:tcPr>
          <w:p w:rsidR="00B65EF4" w:rsidRPr="00B65EF4" w:rsidRDefault="00B65EF4" w:rsidP="00B65EF4">
            <w:pPr>
              <w:spacing w:after="0"/>
              <w:jc w:val="center"/>
              <w:rPr>
                <w:sz w:val="22"/>
                <w:szCs w:val="22"/>
              </w:rPr>
            </w:pPr>
            <w:r w:rsidRPr="00B65EF4">
              <w:rPr>
                <w:sz w:val="22"/>
                <w:szCs w:val="22"/>
              </w:rPr>
              <w:t>2</w:t>
            </w:r>
          </w:p>
        </w:tc>
      </w:tr>
      <w:tr w:rsidR="00B65EF4" w:rsidRPr="00B65EF4" w:rsidTr="00B65EF4">
        <w:trPr>
          <w:trHeight w:val="302"/>
        </w:trPr>
        <w:tc>
          <w:tcPr>
            <w:tcW w:w="748" w:type="dxa"/>
            <w:shd w:val="clear" w:color="auto" w:fill="auto"/>
          </w:tcPr>
          <w:p w:rsidR="00B65EF4" w:rsidRPr="00B65EF4" w:rsidRDefault="00B65EF4" w:rsidP="00B65EF4">
            <w:pPr>
              <w:spacing w:after="0"/>
              <w:jc w:val="center"/>
              <w:rPr>
                <w:sz w:val="22"/>
                <w:szCs w:val="22"/>
              </w:rPr>
            </w:pPr>
            <w:r w:rsidRPr="00B65EF4">
              <w:rPr>
                <w:sz w:val="22"/>
                <w:szCs w:val="22"/>
              </w:rPr>
              <w:t>9</w:t>
            </w:r>
          </w:p>
        </w:tc>
        <w:tc>
          <w:tcPr>
            <w:tcW w:w="3788" w:type="dxa"/>
            <w:shd w:val="clear" w:color="auto" w:fill="auto"/>
            <w:vAlign w:val="center"/>
          </w:tcPr>
          <w:p w:rsidR="00B65EF4" w:rsidRPr="00B65EF4" w:rsidRDefault="00B65EF4" w:rsidP="00B65EF4">
            <w:pPr>
              <w:spacing w:after="0"/>
              <w:jc w:val="left"/>
              <w:rPr>
                <w:sz w:val="22"/>
                <w:szCs w:val="22"/>
              </w:rPr>
            </w:pPr>
            <w:r w:rsidRPr="00B65EF4">
              <w:rPr>
                <w:sz w:val="22"/>
                <w:szCs w:val="22"/>
              </w:rPr>
              <w:t>Автогидроподъемник (автовышка)</w:t>
            </w:r>
          </w:p>
        </w:tc>
        <w:tc>
          <w:tcPr>
            <w:tcW w:w="1418" w:type="dxa"/>
            <w:shd w:val="clear" w:color="auto" w:fill="auto"/>
          </w:tcPr>
          <w:p w:rsidR="00B65EF4" w:rsidRPr="00B65EF4" w:rsidRDefault="00B65EF4" w:rsidP="00B65EF4">
            <w:pPr>
              <w:spacing w:after="0"/>
              <w:jc w:val="center"/>
              <w:rPr>
                <w:sz w:val="22"/>
                <w:szCs w:val="22"/>
              </w:rPr>
            </w:pPr>
            <w:r w:rsidRPr="00B65EF4">
              <w:rPr>
                <w:sz w:val="22"/>
                <w:szCs w:val="22"/>
              </w:rPr>
              <w:t>1</w:t>
            </w:r>
          </w:p>
        </w:tc>
        <w:tc>
          <w:tcPr>
            <w:tcW w:w="992" w:type="dxa"/>
            <w:shd w:val="clear" w:color="auto" w:fill="auto"/>
          </w:tcPr>
          <w:p w:rsidR="00B65EF4" w:rsidRPr="00B65EF4" w:rsidRDefault="00B65EF4" w:rsidP="00B65EF4">
            <w:pPr>
              <w:spacing w:after="0"/>
              <w:jc w:val="center"/>
              <w:rPr>
                <w:i/>
                <w:sz w:val="22"/>
                <w:szCs w:val="22"/>
              </w:rPr>
            </w:pPr>
            <w:r w:rsidRPr="00B65EF4">
              <w:rPr>
                <w:i/>
                <w:sz w:val="22"/>
                <w:szCs w:val="22"/>
              </w:rPr>
              <w:t>0</w:t>
            </w:r>
          </w:p>
        </w:tc>
        <w:tc>
          <w:tcPr>
            <w:tcW w:w="1559" w:type="dxa"/>
            <w:shd w:val="clear" w:color="auto" w:fill="auto"/>
          </w:tcPr>
          <w:p w:rsidR="00B65EF4" w:rsidRPr="00B65EF4" w:rsidRDefault="00B65EF4" w:rsidP="00B65EF4">
            <w:pPr>
              <w:spacing w:after="0"/>
              <w:jc w:val="center"/>
              <w:rPr>
                <w:sz w:val="22"/>
                <w:szCs w:val="22"/>
              </w:rPr>
            </w:pPr>
            <w:r w:rsidRPr="00B65EF4">
              <w:rPr>
                <w:sz w:val="22"/>
                <w:szCs w:val="22"/>
              </w:rPr>
              <w:t>1</w:t>
            </w:r>
          </w:p>
        </w:tc>
        <w:tc>
          <w:tcPr>
            <w:tcW w:w="1418" w:type="dxa"/>
          </w:tcPr>
          <w:p w:rsidR="00B65EF4" w:rsidRPr="00B65EF4" w:rsidRDefault="00B65EF4" w:rsidP="00B65EF4">
            <w:pPr>
              <w:spacing w:after="0"/>
              <w:jc w:val="center"/>
              <w:rPr>
                <w:sz w:val="22"/>
                <w:szCs w:val="22"/>
              </w:rPr>
            </w:pPr>
            <w:r w:rsidRPr="00B65EF4">
              <w:rPr>
                <w:sz w:val="22"/>
                <w:szCs w:val="22"/>
              </w:rPr>
              <w:t>2</w:t>
            </w:r>
          </w:p>
        </w:tc>
      </w:tr>
    </w:tbl>
    <w:p w:rsidR="00B65EF4" w:rsidRPr="00062D0C" w:rsidRDefault="00062D0C" w:rsidP="00062D0C">
      <w:pPr>
        <w:spacing w:after="0"/>
        <w:rPr>
          <w:i/>
          <w:szCs w:val="20"/>
        </w:rPr>
      </w:pPr>
      <w:r w:rsidRPr="00062D0C">
        <w:rPr>
          <w:i/>
          <w:szCs w:val="20"/>
        </w:rPr>
        <w:lastRenderedPageBreak/>
        <w:t xml:space="preserve">(подтверждается копиями паспортов самоходных машин и копиями свидетельствами о </w:t>
      </w:r>
      <w:r>
        <w:rPr>
          <w:i/>
          <w:szCs w:val="20"/>
        </w:rPr>
        <w:t xml:space="preserve">  </w:t>
      </w:r>
      <w:r w:rsidRPr="00062D0C">
        <w:rPr>
          <w:i/>
          <w:szCs w:val="20"/>
        </w:rPr>
        <w:t>регистрации транспортных средств)</w:t>
      </w:r>
    </w:p>
    <w:p w:rsidR="00062D0C" w:rsidRDefault="00062D0C" w:rsidP="00062D0C">
      <w:pPr>
        <w:ind w:firstLine="567"/>
      </w:pPr>
      <w:r w:rsidRPr="00062D0C">
        <w:t>2.5</w:t>
      </w:r>
      <w:r w:rsidR="00F34AF9" w:rsidRPr="00062D0C">
        <w:t xml:space="preserve">.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r>
        <w:t>________________________.</w:t>
      </w:r>
      <w:bookmarkStart w:id="40" w:name="_GoBack"/>
      <w:bookmarkEnd w:id="40"/>
    </w:p>
    <w:p w:rsidR="00F34AF9" w:rsidRPr="00062D0C" w:rsidRDefault="00F34AF9" w:rsidP="00062D0C">
      <w:pPr>
        <w:ind w:firstLine="567"/>
        <w:rPr>
          <w:i/>
        </w:rPr>
      </w:pPr>
      <w:r w:rsidRPr="00062D0C">
        <w:rPr>
          <w:i/>
        </w:rPr>
        <w:t>отсутствуют/наличие (выбрать).</w:t>
      </w:r>
    </w:p>
    <w:p w:rsidR="00F34AF9" w:rsidRPr="00E67B47" w:rsidRDefault="00F34AF9" w:rsidP="004C22A9">
      <w:pPr>
        <w:tabs>
          <w:tab w:val="left" w:pos="708"/>
        </w:tabs>
        <w:rPr>
          <w:b/>
          <w:highlight w:val="yellow"/>
        </w:rPr>
      </w:pPr>
    </w:p>
    <w:p w:rsidR="00C87C22" w:rsidRPr="00E67B47" w:rsidRDefault="00C87C22" w:rsidP="00C87C22">
      <w:pPr>
        <w:ind w:left="567"/>
        <w:rPr>
          <w:i/>
          <w:highlight w:val="yellow"/>
        </w:rPr>
      </w:pPr>
    </w:p>
    <w:p w:rsidR="00C87C22" w:rsidRPr="00E67B47"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F4" w:rsidRDefault="00B65EF4" w:rsidP="000F58EE">
      <w:r>
        <w:separator/>
      </w:r>
    </w:p>
  </w:endnote>
  <w:endnote w:type="continuationSeparator" w:id="0">
    <w:p w:rsidR="00B65EF4" w:rsidRDefault="00B65EF4"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F4" w:rsidRDefault="00B65EF4"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B65EF4" w:rsidRDefault="00B65EF4"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EF4" w:rsidRPr="008E281A" w:rsidRDefault="00B65EF4" w:rsidP="008E281A">
    <w:pPr>
      <w:pStyle w:val="ab"/>
      <w:pBdr>
        <w:top w:val="thinThickSmallGap" w:sz="24" w:space="1"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062D0C">
      <w:rPr>
        <w:rFonts w:asciiTheme="majorHAnsi" w:hAnsiTheme="majorHAnsi"/>
        <w:sz w:val="20"/>
      </w:rPr>
      <w:t>40</w:t>
    </w:r>
    <w:r w:rsidRPr="008E281A">
      <w:rPr>
        <w:rFonts w:asciiTheme="majorHAnsi" w:hAnsiTheme="majorHAnsi"/>
        <w:sz w:val="20"/>
      </w:rPr>
      <w:fldChar w:fldCharType="end"/>
    </w:r>
    <w:r w:rsidRPr="008E281A">
      <w:rPr>
        <w:sz w:val="28"/>
        <w:szCs w:val="28"/>
      </w:rPr>
      <w:t xml:space="preserve"> </w:t>
    </w:r>
    <w:r w:rsidRPr="008E281A">
      <w:rPr>
        <w:rFonts w:asciiTheme="majorHAnsi" w:hAnsiTheme="majorHAnsi"/>
        <w:sz w:val="20"/>
      </w:rPr>
      <w:t>Выполнение работ по строительству объектов: «Первый этап строительства особой экономической зоны промышленно-производственного типа "Липецк", расположенной в Елецком районе Липецкой области (подэтап 1.3), в составе объектов: автомобильная дорога; сети электроснабжения; сети хозяйственно-бытовой канализации; сети ливневой канализации; сети наружного освещения; ограждение территории; сети связи»</w:t>
    </w:r>
  </w:p>
  <w:p w:rsidR="00B65EF4" w:rsidRPr="00B134E9" w:rsidRDefault="00B65EF4" w:rsidP="000150E3">
    <w:pPr>
      <w:pStyle w:val="ab"/>
      <w:pBdr>
        <w:top w:val="thinThickSmallGap" w:sz="24" w:space="1"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Content>
      <w:p w:rsidR="00B65EF4" w:rsidRDefault="00B65EF4">
        <w:pPr>
          <w:pStyle w:val="ab"/>
          <w:jc w:val="right"/>
        </w:pPr>
        <w:r>
          <w:fldChar w:fldCharType="begin"/>
        </w:r>
        <w:r>
          <w:instrText>PAGE   \* MERGEFORMAT</w:instrText>
        </w:r>
        <w:r>
          <w:fldChar w:fldCharType="separate"/>
        </w:r>
        <w:r w:rsidR="00062D0C">
          <w:t>1</w:t>
        </w:r>
        <w:r>
          <w:fldChar w:fldCharType="end"/>
        </w:r>
      </w:p>
    </w:sdtContent>
  </w:sdt>
  <w:p w:rsidR="00B65EF4" w:rsidRDefault="00B65EF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F4" w:rsidRDefault="00B65EF4" w:rsidP="000F58EE">
      <w:r>
        <w:separator/>
      </w:r>
    </w:p>
  </w:footnote>
  <w:footnote w:type="continuationSeparator" w:id="0">
    <w:p w:rsidR="00B65EF4" w:rsidRDefault="00B65EF4"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572"/>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315A"/>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73D"/>
    <w:rsid w:val="00261E3F"/>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AF6"/>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5239"/>
    <w:rsid w:val="00B75337"/>
    <w:rsid w:val="00B81FBD"/>
    <w:rsid w:val="00B82011"/>
    <w:rsid w:val="00B83EF8"/>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348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5B1F4-75F2-4722-A7C3-218CC293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7245</TotalTime>
  <Pages>41</Pages>
  <Words>13687</Words>
  <Characters>96343</Characters>
  <Application>Microsoft Office Word</Application>
  <DocSecurity>0</DocSecurity>
  <Lines>802</Lines>
  <Paragraphs>219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109811</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164</cp:revision>
  <cp:lastPrinted>2018-10-31T11:51:00Z</cp:lastPrinted>
  <dcterms:created xsi:type="dcterms:W3CDTF">2017-02-21T08:30:00Z</dcterms:created>
  <dcterms:modified xsi:type="dcterms:W3CDTF">2018-10-31T11:51:00Z</dcterms:modified>
</cp:coreProperties>
</file>